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FE514" w14:textId="1AA7356E" w:rsidR="007A13CF" w:rsidRPr="00DF69A5" w:rsidRDefault="00E21221" w:rsidP="00DF69A5">
      <w:pPr>
        <w:tabs>
          <w:tab w:val="center" w:pos="4252"/>
          <w:tab w:val="right" w:pos="8504"/>
        </w:tabs>
        <w:spacing w:after="240" w:line="276" w:lineRule="auto"/>
        <w:ind w:right="21"/>
        <w:jc w:val="center"/>
        <w:rPr>
          <w:rFonts w:ascii="Verdana" w:hAnsi="Verdana" w:cs="Arial"/>
          <w:b/>
          <w:lang w:val="es-ES_tradnl" w:eastAsia="es-ES"/>
        </w:rPr>
      </w:pPr>
      <w:r w:rsidRPr="00496322">
        <w:rPr>
          <w:rFonts w:ascii="Verdana" w:hAnsi="Verdana" w:cs="Arial"/>
          <w:b/>
          <w:lang w:val="es-ES_tradnl" w:eastAsia="es-ES"/>
        </w:rPr>
        <w:t>MEMORAND</w:t>
      </w:r>
      <w:r w:rsidR="00680C16" w:rsidRPr="00496322">
        <w:rPr>
          <w:rFonts w:ascii="Verdana" w:hAnsi="Verdana" w:cs="Arial"/>
          <w:b/>
          <w:lang w:val="es-ES_tradnl" w:eastAsia="es-ES"/>
        </w:rPr>
        <w:t>O</w:t>
      </w:r>
    </w:p>
    <w:p w14:paraId="1375A801" w14:textId="3D004D36" w:rsidR="007A13CF" w:rsidRDefault="00603453" w:rsidP="003969C1">
      <w:pPr>
        <w:tabs>
          <w:tab w:val="center" w:pos="4252"/>
          <w:tab w:val="right" w:pos="8504"/>
        </w:tabs>
        <w:spacing w:after="240" w:line="276" w:lineRule="auto"/>
        <w:jc w:val="center"/>
        <w:rPr>
          <w:rFonts w:ascii="Verdana" w:hAnsi="Verdana" w:cs="Arial"/>
          <w:lang w:eastAsia="es-ES"/>
        </w:rPr>
      </w:pPr>
      <w:r>
        <w:rPr>
          <w:rFonts w:ascii="Verdana" w:hAnsi="Verdana" w:cs="Arial"/>
          <w:noProof/>
          <w:lang w:eastAsia="es-ES"/>
          <w14:ligatures w14:val="standardContextual"/>
        </w:rPr>
        <w:drawing>
          <wp:inline distT="0" distB="0" distL="0" distR="0" wp14:anchorId="4F9EF7A5" wp14:editId="36D948CB">
            <wp:extent cx="3276600" cy="952500"/>
            <wp:effectExtent l="0" t="0" r="0" b="0"/>
            <wp:docPr id="1272527414"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527414" name="Imagen 1272527414"/>
                    <pic:cNvPicPr/>
                  </pic:nvPicPr>
                  <pic:blipFill>
                    <a:blip r:embed="rId8">
                      <a:extLst>
                        <a:ext uri="{28A0092B-C50C-407E-A947-70E740481C1C}">
                          <a14:useLocalDpi xmlns:a14="http://schemas.microsoft.com/office/drawing/2010/main" val="0"/>
                        </a:ext>
                      </a:extLst>
                    </a:blip>
                    <a:stretch>
                      <a:fillRect/>
                    </a:stretch>
                  </pic:blipFill>
                  <pic:spPr>
                    <a:xfrm>
                      <a:off x="0" y="0"/>
                      <a:ext cx="3276600" cy="952500"/>
                    </a:xfrm>
                    <a:prstGeom prst="rect">
                      <a:avLst/>
                    </a:prstGeom>
                  </pic:spPr>
                </pic:pic>
              </a:graphicData>
            </a:graphic>
          </wp:inline>
        </w:drawing>
      </w:r>
    </w:p>
    <w:p w14:paraId="425B228C" w14:textId="2B7C033B" w:rsidR="00525A3D" w:rsidRPr="00DF69A5" w:rsidRDefault="08FB0386" w:rsidP="00DF69A5">
      <w:pPr>
        <w:tabs>
          <w:tab w:val="center" w:pos="4252"/>
          <w:tab w:val="right" w:pos="8504"/>
        </w:tabs>
        <w:spacing w:after="240" w:line="276" w:lineRule="auto"/>
        <w:jc w:val="both"/>
        <w:rPr>
          <w:rFonts w:ascii="Verdana" w:hAnsi="Verdana" w:cs="Arial"/>
          <w:lang w:eastAsia="es-ES"/>
        </w:rPr>
      </w:pPr>
      <w:r w:rsidRPr="00496322">
        <w:rPr>
          <w:rFonts w:ascii="Verdana" w:hAnsi="Verdana" w:cs="Arial"/>
          <w:lang w:eastAsia="es-ES"/>
        </w:rPr>
        <w:t>Bogotá D.C.,</w:t>
      </w:r>
      <w:r w:rsidR="00496322" w:rsidRPr="00496322">
        <w:rPr>
          <w:rFonts w:ascii="Verdana" w:hAnsi="Verdana" w:cs="Arial"/>
          <w:lang w:eastAsia="es-ES"/>
        </w:rPr>
        <w:t xml:space="preserve"> </w:t>
      </w:r>
      <w:r w:rsidR="003F25FD">
        <w:rPr>
          <w:rFonts w:ascii="Verdana" w:hAnsi="Verdana" w:cs="Arial"/>
          <w:lang w:eastAsia="es-ES"/>
        </w:rPr>
        <w:t>27 de febrero</w:t>
      </w:r>
      <w:r w:rsidRPr="00496322">
        <w:rPr>
          <w:rFonts w:ascii="Verdana" w:hAnsi="Verdana" w:cs="Arial"/>
          <w:lang w:eastAsia="es-ES"/>
        </w:rPr>
        <w:t xml:space="preserve"> de 202</w:t>
      </w:r>
      <w:r w:rsidR="005E3B89">
        <w:rPr>
          <w:rFonts w:ascii="Verdana" w:hAnsi="Verdana" w:cs="Arial"/>
          <w:lang w:eastAsia="es-ES"/>
        </w:rPr>
        <w:t>6</w:t>
      </w:r>
    </w:p>
    <w:p w14:paraId="77A85AA0" w14:textId="776F6304" w:rsidR="08FB0386" w:rsidRPr="00496322" w:rsidRDefault="08FB0386" w:rsidP="00DF69A5">
      <w:pPr>
        <w:spacing w:line="276" w:lineRule="auto"/>
        <w:jc w:val="both"/>
        <w:rPr>
          <w:rFonts w:ascii="Verdana" w:eastAsiaTheme="minorEastAsia" w:hAnsi="Verdana"/>
          <w:b/>
          <w:bCs/>
          <w:lang w:val="es" w:eastAsia="es-ES"/>
        </w:rPr>
      </w:pPr>
      <w:r w:rsidRPr="00496322">
        <w:rPr>
          <w:rFonts w:ascii="Verdana" w:hAnsi="Verdana" w:cs="Arial"/>
          <w:b/>
          <w:bCs/>
          <w:lang w:eastAsia="es-ES"/>
        </w:rPr>
        <w:t>PARA:</w:t>
      </w:r>
      <w:r w:rsidRPr="00496322">
        <w:rPr>
          <w:rFonts w:ascii="Verdana" w:hAnsi="Verdana"/>
        </w:rPr>
        <w:tab/>
      </w:r>
      <w:r w:rsidR="0084113F">
        <w:rPr>
          <w:rFonts w:ascii="Verdana" w:hAnsi="Verdana" w:cs="Arial"/>
          <w:b/>
          <w:bCs/>
          <w:lang w:eastAsia="es-ES"/>
        </w:rPr>
        <w:t>DANIELA DURÁN GONZÁLEZ</w:t>
      </w:r>
      <w:r w:rsidR="00A37DA1">
        <w:rPr>
          <w:rFonts w:ascii="Verdana" w:hAnsi="Verdana" w:cs="Arial"/>
          <w:b/>
          <w:bCs/>
          <w:lang w:eastAsia="es-ES"/>
        </w:rPr>
        <w:t xml:space="preserve"> </w:t>
      </w:r>
      <w:r w:rsidR="003A4F8F">
        <w:rPr>
          <w:rFonts w:ascii="Verdana" w:hAnsi="Verdana" w:cs="Arial"/>
          <w:b/>
          <w:bCs/>
          <w:lang w:eastAsia="es-ES"/>
        </w:rPr>
        <w:t xml:space="preserve"> </w:t>
      </w:r>
    </w:p>
    <w:p w14:paraId="1A4EEA4F" w14:textId="70F25F88" w:rsidR="07915D1E" w:rsidRPr="000309D6" w:rsidRDefault="0084113F" w:rsidP="003F25FD">
      <w:pPr>
        <w:spacing w:after="240" w:line="276" w:lineRule="auto"/>
        <w:ind w:left="708" w:firstLine="708"/>
        <w:jc w:val="both"/>
        <w:rPr>
          <w:rFonts w:ascii="Verdana" w:hAnsi="Verdana" w:cs="Arial"/>
          <w:lang w:eastAsia="es-ES"/>
        </w:rPr>
      </w:pPr>
      <w:r>
        <w:rPr>
          <w:rFonts w:ascii="Verdana" w:hAnsi="Verdana" w:cs="Arial"/>
          <w:lang w:eastAsia="es-ES"/>
        </w:rPr>
        <w:t>Jefe Oficina de Asuntos Internacionales</w:t>
      </w:r>
    </w:p>
    <w:p w14:paraId="78E8D1AD" w14:textId="01EDDD11" w:rsidR="00E21221" w:rsidRPr="00496322" w:rsidRDefault="08FB0386" w:rsidP="00DF69A5">
      <w:pPr>
        <w:tabs>
          <w:tab w:val="left" w:pos="1620"/>
        </w:tabs>
        <w:spacing w:line="276" w:lineRule="auto"/>
        <w:jc w:val="both"/>
        <w:rPr>
          <w:rFonts w:ascii="Verdana" w:hAnsi="Verdana" w:cs="Arial"/>
          <w:lang w:eastAsia="es-ES"/>
        </w:rPr>
      </w:pPr>
      <w:r w:rsidRPr="00496322">
        <w:rPr>
          <w:rFonts w:ascii="Verdana" w:hAnsi="Verdana" w:cs="Arial"/>
          <w:b/>
          <w:bCs/>
          <w:lang w:eastAsia="es-ES"/>
        </w:rPr>
        <w:t>DE:</w:t>
      </w:r>
      <w:r w:rsidR="43D33D5C" w:rsidRPr="00496322">
        <w:rPr>
          <w:rFonts w:ascii="Verdana" w:hAnsi="Verdana" w:cs="Arial"/>
          <w:b/>
          <w:bCs/>
          <w:lang w:eastAsia="es-ES"/>
        </w:rPr>
        <w:t xml:space="preserve">            </w:t>
      </w:r>
      <w:r w:rsidR="0084113F">
        <w:rPr>
          <w:rFonts w:ascii="Verdana" w:hAnsi="Verdana" w:cs="Arial"/>
          <w:b/>
          <w:bCs/>
          <w:lang w:eastAsia="es-ES"/>
        </w:rPr>
        <w:t xml:space="preserve">LAURA CAMILA RAMOS DÍAZ </w:t>
      </w:r>
    </w:p>
    <w:p w14:paraId="7F5A57D0" w14:textId="1D46873B" w:rsidR="00E21221" w:rsidRPr="00DF69A5" w:rsidRDefault="0084113F" w:rsidP="00DF69A5">
      <w:pPr>
        <w:tabs>
          <w:tab w:val="left" w:pos="1620"/>
        </w:tabs>
        <w:spacing w:after="240" w:line="276" w:lineRule="auto"/>
        <w:ind w:left="1416"/>
        <w:jc w:val="both"/>
        <w:rPr>
          <w:rFonts w:ascii="Verdana" w:hAnsi="Verdana" w:cs="Arial"/>
          <w:lang w:eastAsia="es-ES"/>
        </w:rPr>
      </w:pPr>
      <w:r>
        <w:rPr>
          <w:rFonts w:ascii="Verdana" w:hAnsi="Verdana" w:cs="Arial"/>
          <w:lang w:eastAsia="es-ES"/>
        </w:rPr>
        <w:t>Jefe Oficina Asesora Jurídica</w:t>
      </w:r>
    </w:p>
    <w:p w14:paraId="02B84D42" w14:textId="7C733B93" w:rsidR="00E21221" w:rsidRPr="00DF69A5" w:rsidRDefault="08FB0386" w:rsidP="00DF69A5">
      <w:pPr>
        <w:pStyle w:val="Default"/>
        <w:spacing w:after="240" w:line="276" w:lineRule="auto"/>
        <w:ind w:left="1418" w:hanging="1418"/>
        <w:jc w:val="both"/>
        <w:rPr>
          <w:rFonts w:ascii="Verdana" w:hAnsi="Verdana"/>
          <w:sz w:val="22"/>
          <w:szCs w:val="22"/>
          <w:lang w:val="es-ES"/>
        </w:rPr>
      </w:pPr>
      <w:r w:rsidRPr="00496322">
        <w:rPr>
          <w:rFonts w:ascii="Verdana" w:eastAsia="Times New Roman" w:hAnsi="Verdana"/>
          <w:b/>
          <w:bCs/>
          <w:sz w:val="22"/>
          <w:szCs w:val="22"/>
          <w:lang w:val="es-ES" w:eastAsia="es-ES"/>
        </w:rPr>
        <w:t>ASUNTO:</w:t>
      </w:r>
      <w:r w:rsidR="00E21221" w:rsidRPr="00496322">
        <w:rPr>
          <w:rFonts w:ascii="Verdana" w:hAnsi="Verdana"/>
          <w:sz w:val="22"/>
          <w:szCs w:val="22"/>
        </w:rPr>
        <w:tab/>
      </w:r>
      <w:r w:rsidR="005C0962">
        <w:rPr>
          <w:rFonts w:ascii="Verdana" w:hAnsi="Verdana"/>
          <w:sz w:val="22"/>
          <w:szCs w:val="22"/>
        </w:rPr>
        <w:t xml:space="preserve">Respuesta memorando </w:t>
      </w:r>
      <w:r w:rsidR="005C0962" w:rsidRPr="005C0962">
        <w:rPr>
          <w:rFonts w:ascii="Verdana" w:hAnsi="Verdana"/>
          <w:sz w:val="22"/>
          <w:szCs w:val="22"/>
        </w:rPr>
        <w:t>14002025E3019017</w:t>
      </w:r>
      <w:r w:rsidR="005C0962">
        <w:rPr>
          <w:rFonts w:ascii="Verdana" w:hAnsi="Verdana"/>
          <w:sz w:val="22"/>
          <w:szCs w:val="22"/>
        </w:rPr>
        <w:t xml:space="preserve"> </w:t>
      </w:r>
      <w:r w:rsidR="005C0962" w:rsidRPr="005C0962">
        <w:rPr>
          <w:rFonts w:ascii="Verdana" w:hAnsi="Verdana"/>
          <w:i/>
          <w:iCs/>
          <w:sz w:val="22"/>
          <w:szCs w:val="22"/>
        </w:rPr>
        <w:t>“ASUNTO: Remisión términos generales - Banco Mundial del ERPA (</w:t>
      </w:r>
      <w:proofErr w:type="spellStart"/>
      <w:r w:rsidR="005C0962" w:rsidRPr="005C0962">
        <w:rPr>
          <w:rFonts w:ascii="Verdana" w:hAnsi="Verdana"/>
          <w:i/>
          <w:iCs/>
          <w:sz w:val="22"/>
          <w:szCs w:val="22"/>
        </w:rPr>
        <w:t>Emissions</w:t>
      </w:r>
      <w:proofErr w:type="spellEnd"/>
      <w:r w:rsidR="005C0962" w:rsidRPr="005C0962">
        <w:rPr>
          <w:rFonts w:ascii="Verdana" w:hAnsi="Verdana"/>
          <w:i/>
          <w:iCs/>
          <w:sz w:val="22"/>
          <w:szCs w:val="22"/>
        </w:rPr>
        <w:t xml:space="preserve"> </w:t>
      </w:r>
      <w:proofErr w:type="spellStart"/>
      <w:r w:rsidR="005C0962" w:rsidRPr="005C0962">
        <w:rPr>
          <w:rFonts w:ascii="Verdana" w:hAnsi="Verdana"/>
          <w:i/>
          <w:iCs/>
          <w:sz w:val="22"/>
          <w:szCs w:val="22"/>
        </w:rPr>
        <w:t>Reduction</w:t>
      </w:r>
      <w:proofErr w:type="spellEnd"/>
      <w:r w:rsidR="005C0962" w:rsidRPr="005C0962">
        <w:rPr>
          <w:rFonts w:ascii="Verdana" w:hAnsi="Verdana"/>
          <w:i/>
          <w:iCs/>
          <w:sz w:val="22"/>
          <w:szCs w:val="22"/>
        </w:rPr>
        <w:t xml:space="preserve"> Payment </w:t>
      </w:r>
      <w:proofErr w:type="spellStart"/>
      <w:r w:rsidR="005C0962" w:rsidRPr="005C0962">
        <w:rPr>
          <w:rFonts w:ascii="Verdana" w:hAnsi="Verdana"/>
          <w:i/>
          <w:iCs/>
          <w:sz w:val="22"/>
          <w:szCs w:val="22"/>
        </w:rPr>
        <w:t>Agreement</w:t>
      </w:r>
      <w:proofErr w:type="spellEnd"/>
      <w:r w:rsidR="005C0962" w:rsidRPr="005C0962">
        <w:rPr>
          <w:rFonts w:ascii="Verdana" w:hAnsi="Verdana"/>
          <w:i/>
          <w:iCs/>
          <w:sz w:val="22"/>
          <w:szCs w:val="22"/>
        </w:rPr>
        <w:t xml:space="preserve">) de la Fase 3 del programa </w:t>
      </w:r>
      <w:proofErr w:type="spellStart"/>
      <w:r w:rsidR="005C0962" w:rsidRPr="005C0962">
        <w:rPr>
          <w:rFonts w:ascii="Verdana" w:hAnsi="Verdana"/>
          <w:i/>
          <w:iCs/>
          <w:sz w:val="22"/>
          <w:szCs w:val="22"/>
        </w:rPr>
        <w:t>Biocarbono</w:t>
      </w:r>
      <w:proofErr w:type="spellEnd"/>
      <w:r w:rsidR="005C0962" w:rsidRPr="005C0962">
        <w:rPr>
          <w:rFonts w:ascii="Verdana" w:hAnsi="Verdana"/>
          <w:i/>
          <w:iCs/>
          <w:sz w:val="22"/>
          <w:szCs w:val="22"/>
        </w:rPr>
        <w:t xml:space="preserve"> Orinoquía”</w:t>
      </w:r>
      <w:r w:rsidR="003A4F8F" w:rsidRPr="005C0962">
        <w:rPr>
          <w:rFonts w:ascii="Verdana" w:hAnsi="Verdana"/>
          <w:i/>
          <w:iCs/>
          <w:sz w:val="22"/>
          <w:szCs w:val="22"/>
        </w:rPr>
        <w:t>.</w:t>
      </w:r>
      <w:r w:rsidR="00E21221" w:rsidRPr="00496322">
        <w:rPr>
          <w:rFonts w:ascii="Verdana" w:hAnsi="Verdana" w:cs="Segoe UI"/>
          <w:b/>
          <w:bCs/>
          <w:color w:val="242424"/>
        </w:rPr>
        <w:t xml:space="preserve">                          </w:t>
      </w:r>
    </w:p>
    <w:p w14:paraId="73787F11" w14:textId="12D2F58F" w:rsidR="00E21221" w:rsidRPr="00496322" w:rsidRDefault="00E21221" w:rsidP="003969C1">
      <w:pPr>
        <w:tabs>
          <w:tab w:val="left" w:pos="1620"/>
        </w:tabs>
        <w:spacing w:after="240" w:line="276" w:lineRule="auto"/>
        <w:jc w:val="both"/>
        <w:rPr>
          <w:rFonts w:ascii="Verdana" w:hAnsi="Verdana" w:cs="Arial"/>
          <w:bCs/>
          <w:lang w:val="es-ES_tradnl" w:eastAsia="es-ES"/>
        </w:rPr>
      </w:pPr>
      <w:r w:rsidRPr="00496322">
        <w:rPr>
          <w:rFonts w:ascii="Verdana" w:hAnsi="Verdana" w:cs="Arial"/>
          <w:bCs/>
          <w:lang w:val="es-ES_tradnl" w:eastAsia="es-ES"/>
        </w:rPr>
        <w:t>Reciba un cordial saludo,</w:t>
      </w:r>
    </w:p>
    <w:p w14:paraId="71BB85DD" w14:textId="4D88E1A2" w:rsidR="00A57875" w:rsidRDefault="00A57875" w:rsidP="003969C1">
      <w:pPr>
        <w:spacing w:after="240" w:line="276" w:lineRule="auto"/>
        <w:jc w:val="both"/>
        <w:rPr>
          <w:rFonts w:ascii="Verdana" w:hAnsi="Verdana" w:cs="Arial"/>
          <w:lang w:eastAsia="es-ES"/>
        </w:rPr>
      </w:pPr>
      <w:r>
        <w:rPr>
          <w:rFonts w:ascii="Verdana" w:hAnsi="Verdana" w:cs="Arial"/>
          <w:lang w:eastAsia="es-ES"/>
        </w:rPr>
        <w:t>Conforme al memorando del asunto y el correo remitido por su Oficina el pasado lunes 19 de enero de 2026, nos permitimos dar respuesta a su solicitud, la cual nos permitimos transcribir a continuación:</w:t>
      </w:r>
    </w:p>
    <w:p w14:paraId="4E4A9B57" w14:textId="77777777" w:rsidR="00A57875" w:rsidRPr="00A57875" w:rsidRDefault="00A57875" w:rsidP="003969C1">
      <w:pPr>
        <w:spacing w:after="240" w:line="276" w:lineRule="auto"/>
        <w:ind w:left="708"/>
        <w:jc w:val="both"/>
        <w:rPr>
          <w:rFonts w:ascii="Verdana" w:hAnsi="Verdana" w:cs="Arial"/>
          <w:b/>
          <w:bCs/>
          <w:lang w:eastAsia="es-ES"/>
        </w:rPr>
      </w:pPr>
      <w:r w:rsidRPr="00A57875">
        <w:rPr>
          <w:rFonts w:ascii="Verdana" w:hAnsi="Verdana" w:cs="Arial"/>
          <w:b/>
          <w:bCs/>
          <w:lang w:eastAsia="es-ES"/>
        </w:rPr>
        <w:t>Solicitud contenida en el memorando 14002025E3019017:</w:t>
      </w:r>
    </w:p>
    <w:p w14:paraId="4AA3C6E9" w14:textId="1F3632E5" w:rsidR="00A57875" w:rsidRPr="0090080A" w:rsidRDefault="00A57875" w:rsidP="003969C1">
      <w:pPr>
        <w:spacing w:after="240" w:line="276" w:lineRule="auto"/>
        <w:ind w:left="708"/>
        <w:jc w:val="both"/>
        <w:rPr>
          <w:rFonts w:ascii="Verdana" w:hAnsi="Verdana" w:cs="Arial"/>
          <w:sz w:val="22"/>
          <w:szCs w:val="22"/>
          <w:lang w:eastAsia="es-ES"/>
        </w:rPr>
      </w:pPr>
      <w:r w:rsidRPr="0090080A">
        <w:rPr>
          <w:rFonts w:ascii="Verdana" w:hAnsi="Verdana" w:cs="Arial"/>
          <w:i/>
          <w:iCs/>
          <w:sz w:val="22"/>
          <w:szCs w:val="22"/>
          <w:lang w:eastAsia="es-ES"/>
        </w:rPr>
        <w:t xml:space="preserve">“A los efectos, agradecemos a su dependencia emitir concepto sobre el documento de Cláusulas Generales (previo a la firma de la </w:t>
      </w:r>
      <w:proofErr w:type="gramStart"/>
      <w:r w:rsidRPr="0090080A">
        <w:rPr>
          <w:rFonts w:ascii="Verdana" w:hAnsi="Verdana" w:cs="Arial"/>
          <w:i/>
          <w:iCs/>
          <w:sz w:val="22"/>
          <w:szCs w:val="22"/>
          <w:lang w:eastAsia="es-ES"/>
        </w:rPr>
        <w:t>Ministra</w:t>
      </w:r>
      <w:proofErr w:type="gramEnd"/>
      <w:r w:rsidRPr="0090080A">
        <w:rPr>
          <w:rFonts w:ascii="Verdana" w:hAnsi="Verdana" w:cs="Arial"/>
          <w:i/>
          <w:iCs/>
          <w:sz w:val="22"/>
          <w:szCs w:val="22"/>
          <w:lang w:eastAsia="es-ES"/>
        </w:rPr>
        <w:t xml:space="preserve">) antes del miércoles 12 de noviembre, recordando que, según lo mencionado por el Banco Mundial, su contenido no es negociable. También agradecemos se realicen las gestiones determinadas en la Directiva Presidencial 05 de 2025 que procedan.” </w:t>
      </w:r>
      <w:r w:rsidRPr="0090080A">
        <w:rPr>
          <w:rFonts w:ascii="Verdana" w:hAnsi="Verdana" w:cs="Arial"/>
          <w:sz w:val="22"/>
          <w:szCs w:val="22"/>
          <w:lang w:eastAsia="es-ES"/>
        </w:rPr>
        <w:t>(pág. 2)</w:t>
      </w:r>
    </w:p>
    <w:p w14:paraId="07068A03" w14:textId="7D97103E" w:rsidR="00A57875" w:rsidRPr="00A57875" w:rsidRDefault="00A57875" w:rsidP="003969C1">
      <w:pPr>
        <w:spacing w:after="240" w:line="276" w:lineRule="auto"/>
        <w:ind w:left="708"/>
        <w:jc w:val="both"/>
        <w:rPr>
          <w:rFonts w:ascii="Verdana" w:hAnsi="Verdana" w:cs="Arial"/>
          <w:b/>
          <w:bCs/>
          <w:lang w:eastAsia="es-ES"/>
        </w:rPr>
      </w:pPr>
      <w:r w:rsidRPr="00A57875">
        <w:rPr>
          <w:rFonts w:ascii="Verdana" w:hAnsi="Verdana" w:cs="Arial"/>
          <w:b/>
          <w:bCs/>
          <w:lang w:eastAsia="es-ES"/>
        </w:rPr>
        <w:t xml:space="preserve">Solicitud contenida en el </w:t>
      </w:r>
      <w:r>
        <w:rPr>
          <w:rFonts w:ascii="Verdana" w:hAnsi="Verdana" w:cs="Arial"/>
          <w:b/>
          <w:bCs/>
          <w:lang w:eastAsia="es-ES"/>
        </w:rPr>
        <w:t>correo electrónico</w:t>
      </w:r>
      <w:r w:rsidRPr="00A57875">
        <w:rPr>
          <w:rFonts w:ascii="Verdana" w:hAnsi="Verdana" w:cs="Arial"/>
          <w:b/>
          <w:bCs/>
          <w:lang w:eastAsia="es-ES"/>
        </w:rPr>
        <w:t>:</w:t>
      </w:r>
    </w:p>
    <w:p w14:paraId="4510CF4E" w14:textId="5289A16D" w:rsidR="00A57875" w:rsidRDefault="00A57875" w:rsidP="003969C1">
      <w:pPr>
        <w:spacing w:after="240" w:line="276" w:lineRule="auto"/>
        <w:ind w:left="708"/>
        <w:jc w:val="both"/>
        <w:rPr>
          <w:rFonts w:ascii="Verdana" w:hAnsi="Verdana" w:cs="Arial"/>
          <w:i/>
          <w:iCs/>
          <w:lang w:eastAsia="es-ES"/>
        </w:rPr>
      </w:pPr>
      <w:r>
        <w:rPr>
          <w:rFonts w:ascii="Verdana" w:hAnsi="Verdana" w:cs="Arial"/>
          <w:i/>
          <w:iCs/>
          <w:lang w:eastAsia="es-ES"/>
        </w:rPr>
        <w:t>“</w:t>
      </w:r>
      <w:r w:rsidRPr="00A57875">
        <w:rPr>
          <w:rFonts w:ascii="Verdana" w:hAnsi="Verdana" w:cs="Arial"/>
          <w:i/>
          <w:iCs/>
          <w:sz w:val="22"/>
          <w:szCs w:val="22"/>
          <w:lang w:eastAsia="es-ES"/>
        </w:rPr>
        <w:t xml:space="preserve">En dicho memorando acudimos a los buenos oficios de la Oficina Asesora Jurídica con el fin de: (i) emitir concepto sobre lo solicitado por la </w:t>
      </w:r>
      <w:r w:rsidRPr="00A57875">
        <w:rPr>
          <w:rFonts w:ascii="Verdana" w:hAnsi="Verdana" w:cs="Arial"/>
          <w:i/>
          <w:iCs/>
          <w:sz w:val="22"/>
          <w:szCs w:val="22"/>
          <w:lang w:eastAsia="es-ES"/>
        </w:rPr>
        <w:lastRenderedPageBreak/>
        <w:t xml:space="preserve">Cancillería, respecto de la capacidad legal y la competencia funcional del </w:t>
      </w:r>
      <w:proofErr w:type="spellStart"/>
      <w:r w:rsidRPr="00A57875">
        <w:rPr>
          <w:rFonts w:ascii="Verdana" w:hAnsi="Verdana" w:cs="Arial"/>
          <w:i/>
          <w:iCs/>
          <w:sz w:val="22"/>
          <w:szCs w:val="22"/>
          <w:lang w:eastAsia="es-ES"/>
        </w:rPr>
        <w:t>MinAmbiente</w:t>
      </w:r>
      <w:proofErr w:type="spellEnd"/>
      <w:r w:rsidRPr="00A57875">
        <w:rPr>
          <w:rFonts w:ascii="Verdana" w:hAnsi="Verdana" w:cs="Arial"/>
          <w:i/>
          <w:iCs/>
          <w:sz w:val="22"/>
          <w:szCs w:val="22"/>
          <w:lang w:eastAsia="es-ES"/>
        </w:rPr>
        <w:t xml:space="preserve"> para suscribir el ERPA; y (</w:t>
      </w:r>
      <w:proofErr w:type="spellStart"/>
      <w:r w:rsidRPr="00A57875">
        <w:rPr>
          <w:rFonts w:ascii="Verdana" w:hAnsi="Verdana" w:cs="Arial"/>
          <w:i/>
          <w:iCs/>
          <w:sz w:val="22"/>
          <w:szCs w:val="22"/>
          <w:lang w:eastAsia="es-ES"/>
        </w:rPr>
        <w:t>ii</w:t>
      </w:r>
      <w:proofErr w:type="spellEnd"/>
      <w:r w:rsidRPr="00A57875">
        <w:rPr>
          <w:rFonts w:ascii="Verdana" w:hAnsi="Verdana" w:cs="Arial"/>
          <w:i/>
          <w:iCs/>
          <w:sz w:val="22"/>
          <w:szCs w:val="22"/>
          <w:lang w:eastAsia="es-ES"/>
        </w:rPr>
        <w:t>) emitir el concepto requerido por la Directiva Presidencial 05 de 2025, relativo a la conveniencia jurídica y económica de la cláusula compromisoria allí contenida.</w:t>
      </w:r>
      <w:r>
        <w:rPr>
          <w:rFonts w:ascii="Verdana" w:hAnsi="Verdana" w:cs="Arial"/>
          <w:i/>
          <w:iCs/>
          <w:lang w:eastAsia="es-ES"/>
        </w:rPr>
        <w:t xml:space="preserve"> </w:t>
      </w:r>
    </w:p>
    <w:p w14:paraId="7ADDFFBC" w14:textId="77777777" w:rsidR="00A57875" w:rsidRPr="0090080A" w:rsidRDefault="00A57875" w:rsidP="003969C1">
      <w:pPr>
        <w:spacing w:after="240" w:line="276" w:lineRule="auto"/>
        <w:ind w:left="708"/>
        <w:jc w:val="both"/>
        <w:rPr>
          <w:rFonts w:ascii="Verdana" w:hAnsi="Verdana" w:cs="Arial"/>
          <w:i/>
          <w:iCs/>
          <w:sz w:val="22"/>
          <w:szCs w:val="22"/>
          <w:lang w:eastAsia="es-ES"/>
        </w:rPr>
      </w:pPr>
      <w:r w:rsidRPr="0090080A">
        <w:rPr>
          <w:rFonts w:ascii="Verdana" w:hAnsi="Verdana" w:cs="Arial"/>
          <w:i/>
          <w:iCs/>
          <w:sz w:val="22"/>
          <w:szCs w:val="22"/>
          <w:lang w:eastAsia="es-ES"/>
        </w:rPr>
        <w:t xml:space="preserve">(…) </w:t>
      </w:r>
    </w:p>
    <w:p w14:paraId="5333CB53" w14:textId="77777777" w:rsidR="00A57875" w:rsidRPr="0090080A" w:rsidRDefault="00A57875" w:rsidP="003969C1">
      <w:pPr>
        <w:spacing w:after="240" w:line="276" w:lineRule="auto"/>
        <w:ind w:left="708"/>
        <w:jc w:val="both"/>
        <w:rPr>
          <w:rFonts w:ascii="Verdana" w:hAnsi="Verdana" w:cs="Arial"/>
          <w:i/>
          <w:iCs/>
          <w:sz w:val="22"/>
          <w:szCs w:val="22"/>
          <w:lang w:eastAsia="es-ES"/>
        </w:rPr>
      </w:pPr>
      <w:r w:rsidRPr="0090080A">
        <w:rPr>
          <w:rFonts w:ascii="Verdana" w:hAnsi="Verdana" w:cs="Arial"/>
          <w:i/>
          <w:iCs/>
          <w:kern w:val="2"/>
          <w:sz w:val="22"/>
          <w:szCs w:val="22"/>
          <w:lang w:val="es-CO" w:eastAsia="es-ES"/>
          <w14:ligatures w14:val="standardContextual"/>
        </w:rPr>
        <w:t>En ese sentido, te agradezco evaluar y reconsiderar la respuesta proyectada, a fin de que se emita el concepto: </w:t>
      </w:r>
    </w:p>
    <w:p w14:paraId="04A520AC" w14:textId="0EFFFE26" w:rsidR="00A57875" w:rsidRPr="0090080A" w:rsidRDefault="00A57875" w:rsidP="003969C1">
      <w:pPr>
        <w:pStyle w:val="Prrafodelista"/>
        <w:numPr>
          <w:ilvl w:val="0"/>
          <w:numId w:val="44"/>
        </w:numPr>
        <w:spacing w:after="240" w:line="276" w:lineRule="auto"/>
        <w:jc w:val="both"/>
        <w:rPr>
          <w:rFonts w:ascii="Verdana" w:hAnsi="Verdana" w:cs="Arial"/>
          <w:i/>
          <w:iCs/>
          <w:kern w:val="2"/>
          <w:sz w:val="22"/>
          <w:szCs w:val="22"/>
          <w:lang w:val="es-CO" w:eastAsia="es-ES"/>
          <w14:ligatures w14:val="standardContextual"/>
        </w:rPr>
      </w:pPr>
      <w:r w:rsidRPr="0090080A">
        <w:rPr>
          <w:rFonts w:ascii="Verdana" w:hAnsi="Verdana" w:cs="Arial"/>
          <w:i/>
          <w:iCs/>
          <w:kern w:val="2"/>
          <w:sz w:val="22"/>
          <w:szCs w:val="22"/>
          <w:lang w:val="es-CO" w:eastAsia="es-ES"/>
          <w14:ligatures w14:val="standardContextual"/>
        </w:rPr>
        <w:t>sobre la cláusula compromisoria contenida en los términos generales; y </w:t>
      </w:r>
    </w:p>
    <w:p w14:paraId="6FF8F2CE" w14:textId="0B45D94B" w:rsidR="00A57875" w:rsidRPr="0090080A" w:rsidRDefault="00A57875" w:rsidP="003969C1">
      <w:pPr>
        <w:pStyle w:val="Prrafodelista"/>
        <w:numPr>
          <w:ilvl w:val="0"/>
          <w:numId w:val="44"/>
        </w:numPr>
        <w:spacing w:after="240" w:line="276" w:lineRule="auto"/>
        <w:jc w:val="both"/>
        <w:rPr>
          <w:rFonts w:ascii="Verdana" w:hAnsi="Verdana" w:cs="Arial"/>
          <w:i/>
          <w:iCs/>
          <w:sz w:val="22"/>
          <w:szCs w:val="22"/>
          <w:lang w:eastAsia="es-ES"/>
        </w:rPr>
      </w:pPr>
      <w:r w:rsidRPr="0090080A">
        <w:rPr>
          <w:rFonts w:ascii="Verdana" w:hAnsi="Verdana" w:cs="Arial"/>
          <w:i/>
          <w:iCs/>
          <w:kern w:val="2"/>
          <w:sz w:val="22"/>
          <w:szCs w:val="22"/>
          <w:lang w:val="es-CO" w:eastAsia="es-ES"/>
          <w14:ligatures w14:val="standardContextual"/>
        </w:rPr>
        <w:t xml:space="preserve">sobre la competencia funcional del </w:t>
      </w:r>
      <w:proofErr w:type="spellStart"/>
      <w:r w:rsidRPr="0090080A">
        <w:rPr>
          <w:rFonts w:ascii="Verdana" w:hAnsi="Verdana" w:cs="Arial"/>
          <w:i/>
          <w:iCs/>
          <w:kern w:val="2"/>
          <w:sz w:val="22"/>
          <w:szCs w:val="22"/>
          <w:lang w:val="es-CO" w:eastAsia="es-ES"/>
          <w14:ligatures w14:val="standardContextual"/>
        </w:rPr>
        <w:t>MinAmbiente</w:t>
      </w:r>
      <w:proofErr w:type="spellEnd"/>
      <w:r w:rsidRPr="0090080A">
        <w:rPr>
          <w:rFonts w:ascii="Verdana" w:hAnsi="Verdana" w:cs="Arial"/>
          <w:i/>
          <w:iCs/>
          <w:kern w:val="2"/>
          <w:sz w:val="22"/>
          <w:szCs w:val="22"/>
          <w:lang w:val="es-CO" w:eastAsia="es-ES"/>
          <w14:ligatures w14:val="standardContextual"/>
        </w:rPr>
        <w:t xml:space="preserve"> para suscribir el ERPA (incluidos sus términos generales).</w:t>
      </w:r>
      <w:r w:rsidRPr="0090080A">
        <w:rPr>
          <w:rFonts w:ascii="Verdana" w:hAnsi="Verdana" w:cs="Arial"/>
          <w:i/>
          <w:iCs/>
          <w:sz w:val="22"/>
          <w:szCs w:val="22"/>
          <w:lang w:eastAsia="es-ES"/>
        </w:rPr>
        <w:t>“</w:t>
      </w:r>
    </w:p>
    <w:p w14:paraId="5E410C38" w14:textId="1524ADED" w:rsidR="00A57875" w:rsidRDefault="00A57875" w:rsidP="003969C1">
      <w:pPr>
        <w:spacing w:after="240" w:line="276" w:lineRule="auto"/>
        <w:jc w:val="both"/>
        <w:rPr>
          <w:rFonts w:ascii="Verdana" w:hAnsi="Verdana" w:cs="Arial"/>
          <w:lang w:eastAsia="es-ES"/>
        </w:rPr>
      </w:pPr>
      <w:r w:rsidRPr="00752BC8">
        <w:rPr>
          <w:rFonts w:ascii="Verdana" w:hAnsi="Verdana" w:cs="Arial"/>
          <w:lang w:eastAsia="es-ES"/>
        </w:rPr>
        <w:t xml:space="preserve">Conforme a lo anterior, evidenciamos </w:t>
      </w:r>
      <w:r w:rsidR="00591DBA">
        <w:rPr>
          <w:rFonts w:ascii="Verdana" w:hAnsi="Verdana" w:cs="Arial"/>
          <w:lang w:eastAsia="es-ES"/>
        </w:rPr>
        <w:t xml:space="preserve">un cambio en la solicitud relativa al documento de </w:t>
      </w:r>
      <w:r w:rsidR="00591DBA" w:rsidRPr="00591DBA">
        <w:rPr>
          <w:rFonts w:ascii="Verdana" w:hAnsi="Verdana" w:cs="Arial"/>
          <w:b/>
          <w:bCs/>
          <w:lang w:eastAsia="es-ES"/>
        </w:rPr>
        <w:t>Cláusulas Generales</w:t>
      </w:r>
      <w:r w:rsidR="00591DBA">
        <w:rPr>
          <w:rFonts w:ascii="Verdana" w:hAnsi="Verdana" w:cs="Arial"/>
          <w:b/>
          <w:bCs/>
          <w:lang w:eastAsia="es-ES"/>
        </w:rPr>
        <w:t xml:space="preserve"> (no negociable)</w:t>
      </w:r>
      <w:r w:rsidR="006E1B2D" w:rsidRPr="006E1B2D">
        <w:rPr>
          <w:rFonts w:ascii="Verdana" w:hAnsi="Verdana" w:cs="Arial"/>
          <w:lang w:eastAsia="es-ES"/>
        </w:rPr>
        <w:t>, entre el memorando y el correo electrónico</w:t>
      </w:r>
      <w:r w:rsidR="00591DBA" w:rsidRPr="006E1B2D">
        <w:rPr>
          <w:rFonts w:ascii="Verdana" w:hAnsi="Verdana" w:cs="Arial"/>
          <w:lang w:eastAsia="es-ES"/>
        </w:rPr>
        <w:t>:</w:t>
      </w:r>
    </w:p>
    <w:p w14:paraId="1ED41BBD" w14:textId="2DD19E23" w:rsidR="00591DBA" w:rsidRPr="00591DBA" w:rsidRDefault="00591DBA" w:rsidP="003969C1">
      <w:pPr>
        <w:pStyle w:val="Prrafodelista"/>
        <w:numPr>
          <w:ilvl w:val="0"/>
          <w:numId w:val="42"/>
        </w:numPr>
        <w:spacing w:after="240" w:line="276" w:lineRule="auto"/>
        <w:jc w:val="both"/>
        <w:rPr>
          <w:rFonts w:ascii="Verdana" w:hAnsi="Verdana" w:cs="Arial"/>
          <w:lang w:eastAsia="es-ES"/>
        </w:rPr>
      </w:pPr>
      <w:r w:rsidRPr="00591DBA">
        <w:rPr>
          <w:rFonts w:ascii="Verdana" w:hAnsi="Verdana" w:cs="Arial"/>
          <w:lang w:eastAsia="es-ES"/>
        </w:rPr>
        <w:t xml:space="preserve">La solicitud del memorando es </w:t>
      </w:r>
      <w:r w:rsidRPr="00591DBA">
        <w:rPr>
          <w:rFonts w:ascii="Verdana" w:hAnsi="Verdana" w:cs="Arial"/>
          <w:b/>
          <w:bCs/>
          <w:lang w:eastAsia="es-ES"/>
        </w:rPr>
        <w:t>general</w:t>
      </w:r>
      <w:r w:rsidRPr="00591DBA">
        <w:rPr>
          <w:rFonts w:ascii="Verdana" w:hAnsi="Verdana" w:cs="Arial"/>
          <w:lang w:eastAsia="es-ES"/>
        </w:rPr>
        <w:t>:</w:t>
      </w:r>
      <w:r>
        <w:rPr>
          <w:rFonts w:ascii="Verdana" w:hAnsi="Verdana" w:cs="Arial"/>
          <w:i/>
          <w:iCs/>
          <w:lang w:eastAsia="es-ES"/>
        </w:rPr>
        <w:t xml:space="preserve"> “</w:t>
      </w:r>
      <w:r w:rsidRPr="00A57875">
        <w:rPr>
          <w:rFonts w:ascii="Verdana" w:hAnsi="Verdana" w:cs="Arial"/>
          <w:i/>
          <w:iCs/>
          <w:lang w:eastAsia="es-ES"/>
        </w:rPr>
        <w:t xml:space="preserve">emitir concepto sobre el documento de Cláusulas Generales (previo a la firma de la </w:t>
      </w:r>
      <w:proofErr w:type="gramStart"/>
      <w:r w:rsidRPr="00A57875">
        <w:rPr>
          <w:rFonts w:ascii="Verdana" w:hAnsi="Verdana" w:cs="Arial"/>
          <w:i/>
          <w:iCs/>
          <w:lang w:eastAsia="es-ES"/>
        </w:rPr>
        <w:t>Ministra</w:t>
      </w:r>
      <w:proofErr w:type="gramEnd"/>
      <w:r w:rsidRPr="00A57875">
        <w:rPr>
          <w:rFonts w:ascii="Verdana" w:hAnsi="Verdana" w:cs="Arial"/>
          <w:i/>
          <w:iCs/>
          <w:lang w:eastAsia="es-ES"/>
        </w:rPr>
        <w:t>) antes del miércoles 12 de noviembre, recordando que, según lo mencionado por el Banco Mundial, su contenido no es negociable</w:t>
      </w:r>
      <w:r>
        <w:rPr>
          <w:rFonts w:ascii="Verdana" w:hAnsi="Verdana" w:cs="Arial"/>
          <w:i/>
          <w:iCs/>
          <w:lang w:eastAsia="es-ES"/>
        </w:rPr>
        <w:t>”.</w:t>
      </w:r>
    </w:p>
    <w:p w14:paraId="5074A937" w14:textId="10645A29" w:rsidR="00591DBA" w:rsidRPr="00591DBA" w:rsidRDefault="00591DBA" w:rsidP="003969C1">
      <w:pPr>
        <w:pStyle w:val="Prrafodelista"/>
        <w:numPr>
          <w:ilvl w:val="0"/>
          <w:numId w:val="42"/>
        </w:numPr>
        <w:spacing w:after="240" w:line="276" w:lineRule="auto"/>
        <w:jc w:val="both"/>
        <w:rPr>
          <w:rFonts w:ascii="Verdana" w:hAnsi="Verdana" w:cs="Arial"/>
          <w:lang w:eastAsia="es-ES"/>
        </w:rPr>
      </w:pPr>
      <w:r w:rsidRPr="00591DBA">
        <w:rPr>
          <w:rFonts w:ascii="Verdana" w:hAnsi="Verdana" w:cs="Arial"/>
          <w:lang w:eastAsia="es-ES"/>
        </w:rPr>
        <w:t xml:space="preserve">La solicitud inicial del correo </w:t>
      </w:r>
      <w:r w:rsidR="00C16932">
        <w:rPr>
          <w:rFonts w:ascii="Verdana" w:hAnsi="Verdana" w:cs="Arial"/>
          <w:lang w:eastAsia="es-ES"/>
        </w:rPr>
        <w:t>versa</w:t>
      </w:r>
      <w:r w:rsidRPr="00591DBA">
        <w:rPr>
          <w:rFonts w:ascii="Verdana" w:hAnsi="Verdana" w:cs="Arial"/>
          <w:lang w:eastAsia="es-ES"/>
        </w:rPr>
        <w:t xml:space="preserve"> sobre la </w:t>
      </w:r>
      <w:r w:rsidRPr="00591DBA">
        <w:rPr>
          <w:rFonts w:ascii="Verdana" w:hAnsi="Verdana" w:cs="Arial"/>
          <w:b/>
          <w:bCs/>
          <w:lang w:eastAsia="es-ES"/>
        </w:rPr>
        <w:t>capacidad legal y competencia funcional</w:t>
      </w:r>
      <w:r w:rsidRPr="00591DBA">
        <w:rPr>
          <w:rFonts w:ascii="Verdana" w:hAnsi="Verdana" w:cs="Arial"/>
          <w:lang w:eastAsia="es-ES"/>
        </w:rPr>
        <w:t>:</w:t>
      </w:r>
      <w:r>
        <w:rPr>
          <w:rFonts w:ascii="Verdana" w:hAnsi="Verdana" w:cs="Arial"/>
          <w:i/>
          <w:iCs/>
          <w:lang w:eastAsia="es-ES"/>
        </w:rPr>
        <w:t xml:space="preserve"> </w:t>
      </w:r>
      <w:r w:rsidRPr="0090080A">
        <w:rPr>
          <w:rFonts w:ascii="Verdana" w:hAnsi="Verdana" w:cs="Arial"/>
          <w:i/>
          <w:iCs/>
          <w:lang w:eastAsia="es-ES"/>
        </w:rPr>
        <w:t xml:space="preserve">“(i) emitir concepto sobre lo solicitado por la Cancillería, respecto de la capacidad legal y la competencia funcional del </w:t>
      </w:r>
      <w:proofErr w:type="spellStart"/>
      <w:r w:rsidRPr="0090080A">
        <w:rPr>
          <w:rFonts w:ascii="Verdana" w:hAnsi="Verdana" w:cs="Arial"/>
          <w:i/>
          <w:iCs/>
          <w:lang w:eastAsia="es-ES"/>
        </w:rPr>
        <w:t>MinAmbiente</w:t>
      </w:r>
      <w:proofErr w:type="spellEnd"/>
      <w:r w:rsidRPr="0090080A">
        <w:rPr>
          <w:rFonts w:ascii="Verdana" w:hAnsi="Verdana" w:cs="Arial"/>
          <w:i/>
          <w:iCs/>
          <w:lang w:eastAsia="es-ES"/>
        </w:rPr>
        <w:t xml:space="preserve"> para suscribir el ERPA”.</w:t>
      </w:r>
    </w:p>
    <w:p w14:paraId="0218BF08" w14:textId="67F9B993" w:rsidR="00A57875" w:rsidRPr="00C16932" w:rsidRDefault="00591DBA" w:rsidP="003969C1">
      <w:pPr>
        <w:pStyle w:val="Prrafodelista"/>
        <w:numPr>
          <w:ilvl w:val="0"/>
          <w:numId w:val="42"/>
        </w:numPr>
        <w:spacing w:after="240" w:line="276" w:lineRule="auto"/>
        <w:jc w:val="both"/>
        <w:rPr>
          <w:rFonts w:ascii="Verdana" w:hAnsi="Verdana" w:cs="Arial"/>
          <w:i/>
          <w:iCs/>
          <w:lang w:eastAsia="es-ES"/>
        </w:rPr>
      </w:pPr>
      <w:r w:rsidRPr="00591DBA">
        <w:rPr>
          <w:rFonts w:ascii="Verdana" w:hAnsi="Verdana" w:cs="Arial"/>
          <w:lang w:eastAsia="es-ES"/>
        </w:rPr>
        <w:t xml:space="preserve">La solicitud final del correo </w:t>
      </w:r>
      <w:r w:rsidR="00C16932">
        <w:rPr>
          <w:rFonts w:ascii="Verdana" w:hAnsi="Verdana" w:cs="Arial"/>
          <w:lang w:eastAsia="es-ES"/>
        </w:rPr>
        <w:t>versa</w:t>
      </w:r>
      <w:r w:rsidRPr="00591DBA">
        <w:rPr>
          <w:rFonts w:ascii="Verdana" w:hAnsi="Verdana" w:cs="Arial"/>
          <w:lang w:eastAsia="es-ES"/>
        </w:rPr>
        <w:t xml:space="preserve"> sobre la </w:t>
      </w:r>
      <w:r w:rsidRPr="00591DBA">
        <w:rPr>
          <w:rFonts w:ascii="Verdana" w:hAnsi="Verdana" w:cs="Arial"/>
          <w:b/>
          <w:bCs/>
          <w:lang w:eastAsia="es-ES"/>
        </w:rPr>
        <w:t>cláusula compromisoria</w:t>
      </w:r>
      <w:r w:rsidR="00C16932">
        <w:rPr>
          <w:rFonts w:ascii="Verdana" w:hAnsi="Verdana" w:cs="Arial"/>
          <w:b/>
          <w:bCs/>
          <w:lang w:eastAsia="es-ES"/>
        </w:rPr>
        <w:t xml:space="preserve"> y competencia funcional</w:t>
      </w:r>
      <w:r w:rsidRPr="00591DBA">
        <w:rPr>
          <w:rFonts w:ascii="Verdana" w:hAnsi="Verdana" w:cs="Arial"/>
          <w:lang w:eastAsia="es-ES"/>
        </w:rPr>
        <w:t>: que se emita el concepto:</w:t>
      </w:r>
      <w:r w:rsidRPr="00591DBA">
        <w:rPr>
          <w:rFonts w:ascii="Verdana" w:hAnsi="Verdana" w:cs="Arial"/>
          <w:i/>
          <w:iCs/>
          <w:lang w:eastAsia="es-ES"/>
        </w:rPr>
        <w:t> </w:t>
      </w:r>
      <w:r>
        <w:rPr>
          <w:rFonts w:ascii="Verdana" w:hAnsi="Verdana" w:cs="Arial"/>
          <w:i/>
          <w:iCs/>
          <w:lang w:eastAsia="es-ES"/>
        </w:rPr>
        <w:t xml:space="preserve">“(i) </w:t>
      </w:r>
      <w:r w:rsidRPr="00591DBA">
        <w:rPr>
          <w:rFonts w:ascii="Verdana" w:hAnsi="Verdana" w:cs="Arial"/>
          <w:i/>
          <w:iCs/>
          <w:lang w:eastAsia="es-ES"/>
        </w:rPr>
        <w:t>sobre la cláusula compromisoria contenida en los términos generales</w:t>
      </w:r>
      <w:r w:rsidR="00C16932">
        <w:rPr>
          <w:rFonts w:ascii="Verdana" w:hAnsi="Verdana" w:cs="Arial"/>
          <w:i/>
          <w:iCs/>
          <w:lang w:eastAsia="es-ES"/>
        </w:rPr>
        <w:t>; (</w:t>
      </w:r>
      <w:proofErr w:type="spellStart"/>
      <w:r w:rsidR="00C16932">
        <w:rPr>
          <w:rFonts w:ascii="Verdana" w:hAnsi="Verdana" w:cs="Arial"/>
          <w:i/>
          <w:iCs/>
          <w:lang w:eastAsia="es-ES"/>
        </w:rPr>
        <w:t>ii</w:t>
      </w:r>
      <w:proofErr w:type="spellEnd"/>
      <w:r w:rsidR="00C16932">
        <w:rPr>
          <w:rFonts w:ascii="Verdana" w:hAnsi="Verdana" w:cs="Arial"/>
          <w:i/>
          <w:iCs/>
          <w:lang w:eastAsia="es-ES"/>
        </w:rPr>
        <w:t xml:space="preserve">) </w:t>
      </w:r>
      <w:r w:rsidR="00C16932" w:rsidRPr="00C16932">
        <w:rPr>
          <w:rFonts w:ascii="Verdana" w:hAnsi="Verdana" w:cs="Arial"/>
          <w:i/>
          <w:iCs/>
          <w:lang w:eastAsia="es-ES"/>
        </w:rPr>
        <w:t xml:space="preserve">sobre la competencia funcional del </w:t>
      </w:r>
      <w:proofErr w:type="spellStart"/>
      <w:r w:rsidR="00C16932" w:rsidRPr="00C16932">
        <w:rPr>
          <w:rFonts w:ascii="Verdana" w:hAnsi="Verdana" w:cs="Arial"/>
          <w:i/>
          <w:iCs/>
          <w:lang w:eastAsia="es-ES"/>
        </w:rPr>
        <w:t>MinAmbiente</w:t>
      </w:r>
      <w:proofErr w:type="spellEnd"/>
      <w:r w:rsidR="00C16932" w:rsidRPr="00C16932">
        <w:rPr>
          <w:rFonts w:ascii="Verdana" w:hAnsi="Verdana" w:cs="Arial"/>
          <w:i/>
          <w:iCs/>
          <w:lang w:eastAsia="es-ES"/>
        </w:rPr>
        <w:t xml:space="preserve"> para suscribir el ERPA (incluidos sus términos generales</w:t>
      </w:r>
      <w:proofErr w:type="gramStart"/>
      <w:r w:rsidR="00C16932" w:rsidRPr="00C16932">
        <w:rPr>
          <w:rFonts w:ascii="Verdana" w:hAnsi="Verdana" w:cs="Arial"/>
          <w:i/>
          <w:iCs/>
          <w:lang w:eastAsia="es-ES"/>
        </w:rPr>
        <w:t>).“</w:t>
      </w:r>
      <w:proofErr w:type="gramEnd"/>
      <w:r w:rsidR="00C16932" w:rsidRPr="00C16932">
        <w:rPr>
          <w:rFonts w:ascii="Verdana" w:hAnsi="Verdana" w:cs="Arial"/>
          <w:i/>
          <w:iCs/>
          <w:lang w:eastAsia="es-ES"/>
        </w:rPr>
        <w:t xml:space="preserve"> </w:t>
      </w:r>
    </w:p>
    <w:p w14:paraId="10A2C46E" w14:textId="1064AD3C" w:rsidR="00591DBA" w:rsidRPr="00591DBA" w:rsidRDefault="00591DBA" w:rsidP="003969C1">
      <w:pPr>
        <w:spacing w:after="240" w:line="276" w:lineRule="auto"/>
        <w:jc w:val="both"/>
        <w:rPr>
          <w:rFonts w:ascii="Verdana" w:hAnsi="Verdana" w:cs="Arial"/>
          <w:lang w:eastAsia="es-ES"/>
        </w:rPr>
      </w:pPr>
      <w:r w:rsidRPr="00591DBA">
        <w:rPr>
          <w:rFonts w:ascii="Verdana" w:hAnsi="Verdana" w:cs="Arial"/>
          <w:lang w:eastAsia="es-ES"/>
        </w:rPr>
        <w:t xml:space="preserve">Por su parte, la solicitud sobre la </w:t>
      </w:r>
      <w:r w:rsidRPr="00106383">
        <w:rPr>
          <w:rFonts w:ascii="Verdana" w:hAnsi="Verdana" w:cs="Arial"/>
          <w:b/>
          <w:bCs/>
          <w:lang w:eastAsia="es-ES"/>
        </w:rPr>
        <w:t>Directiv</w:t>
      </w:r>
      <w:r w:rsidR="00C16932" w:rsidRPr="00106383">
        <w:rPr>
          <w:rFonts w:ascii="Verdana" w:hAnsi="Verdana" w:cs="Arial"/>
          <w:b/>
          <w:bCs/>
          <w:lang w:eastAsia="es-ES"/>
        </w:rPr>
        <w:t>a</w:t>
      </w:r>
      <w:r w:rsidRPr="00106383">
        <w:rPr>
          <w:rFonts w:ascii="Verdana" w:hAnsi="Verdana" w:cs="Arial"/>
          <w:b/>
          <w:bCs/>
          <w:lang w:eastAsia="es-ES"/>
        </w:rPr>
        <w:t xml:space="preserve"> Presidencial 05 de 2025</w:t>
      </w:r>
      <w:r w:rsidRPr="00591DBA">
        <w:rPr>
          <w:rFonts w:ascii="Verdana" w:hAnsi="Verdana" w:cs="Arial"/>
          <w:lang w:eastAsia="es-ES"/>
        </w:rPr>
        <w:t xml:space="preserve"> también tiene variaciones, </w:t>
      </w:r>
      <w:r w:rsidR="006E1B2D" w:rsidRPr="006E1B2D">
        <w:rPr>
          <w:rFonts w:ascii="Verdana" w:hAnsi="Verdana" w:cs="Arial"/>
          <w:lang w:eastAsia="es-ES"/>
        </w:rPr>
        <w:t>entre el memorando y el correo electrónico</w:t>
      </w:r>
      <w:r w:rsidR="006E1B2D">
        <w:rPr>
          <w:rFonts w:ascii="Verdana" w:hAnsi="Verdana" w:cs="Arial"/>
          <w:lang w:eastAsia="es-ES"/>
        </w:rPr>
        <w:t xml:space="preserve">, </w:t>
      </w:r>
      <w:r w:rsidRPr="00591DBA">
        <w:rPr>
          <w:rFonts w:ascii="Verdana" w:hAnsi="Verdana" w:cs="Arial"/>
          <w:lang w:eastAsia="es-ES"/>
        </w:rPr>
        <w:t>así:</w:t>
      </w:r>
    </w:p>
    <w:p w14:paraId="7E92E1BD" w14:textId="30A5FCC9" w:rsidR="00591DBA" w:rsidRPr="00C16932" w:rsidRDefault="00C16932" w:rsidP="003969C1">
      <w:pPr>
        <w:pStyle w:val="Prrafodelista"/>
        <w:numPr>
          <w:ilvl w:val="0"/>
          <w:numId w:val="45"/>
        </w:numPr>
        <w:spacing w:after="240" w:line="276" w:lineRule="auto"/>
        <w:jc w:val="both"/>
        <w:rPr>
          <w:rFonts w:ascii="Verdana" w:hAnsi="Verdana" w:cs="Arial"/>
          <w:lang w:eastAsia="es-ES"/>
        </w:rPr>
      </w:pPr>
      <w:r w:rsidRPr="00591DBA">
        <w:rPr>
          <w:rFonts w:ascii="Verdana" w:hAnsi="Verdana" w:cs="Arial"/>
          <w:lang w:eastAsia="es-ES"/>
        </w:rPr>
        <w:lastRenderedPageBreak/>
        <w:t xml:space="preserve">La solicitud del memorando es </w:t>
      </w:r>
      <w:r w:rsidRPr="00591DBA">
        <w:rPr>
          <w:rFonts w:ascii="Verdana" w:hAnsi="Verdana" w:cs="Arial"/>
          <w:b/>
          <w:bCs/>
          <w:lang w:eastAsia="es-ES"/>
        </w:rPr>
        <w:t>general</w:t>
      </w:r>
      <w:r w:rsidRPr="00591DBA">
        <w:rPr>
          <w:rFonts w:ascii="Verdana" w:hAnsi="Verdana" w:cs="Arial"/>
          <w:lang w:eastAsia="es-ES"/>
        </w:rPr>
        <w:t>:</w:t>
      </w:r>
      <w:r>
        <w:rPr>
          <w:rFonts w:ascii="Verdana" w:hAnsi="Verdana" w:cs="Arial"/>
          <w:i/>
          <w:iCs/>
          <w:lang w:eastAsia="es-ES"/>
        </w:rPr>
        <w:t xml:space="preserve"> “</w:t>
      </w:r>
      <w:r w:rsidRPr="00A57875">
        <w:rPr>
          <w:rFonts w:ascii="Verdana" w:hAnsi="Verdana" w:cs="Arial"/>
          <w:i/>
          <w:iCs/>
          <w:lang w:eastAsia="es-ES"/>
        </w:rPr>
        <w:t>También agradecemos se realicen las gestiones determinadas en la Directiva Presidencial 05 de 2025 que procedan.”</w:t>
      </w:r>
    </w:p>
    <w:p w14:paraId="31E5975B" w14:textId="2058ED28" w:rsidR="00C16932" w:rsidRPr="00106383" w:rsidRDefault="00C16932" w:rsidP="003969C1">
      <w:pPr>
        <w:pStyle w:val="Prrafodelista"/>
        <w:numPr>
          <w:ilvl w:val="0"/>
          <w:numId w:val="45"/>
        </w:numPr>
        <w:spacing w:after="240" w:line="276" w:lineRule="auto"/>
        <w:jc w:val="both"/>
        <w:rPr>
          <w:rFonts w:ascii="Verdana" w:hAnsi="Verdana" w:cs="Arial"/>
          <w:lang w:eastAsia="es-ES"/>
        </w:rPr>
      </w:pPr>
      <w:r w:rsidRPr="00591DBA">
        <w:rPr>
          <w:rFonts w:ascii="Verdana" w:hAnsi="Verdana" w:cs="Arial"/>
          <w:lang w:eastAsia="es-ES"/>
        </w:rPr>
        <w:t xml:space="preserve">La solicitud inicial del correo </w:t>
      </w:r>
      <w:r>
        <w:rPr>
          <w:rFonts w:ascii="Verdana" w:hAnsi="Verdana" w:cs="Arial"/>
          <w:lang w:eastAsia="es-ES"/>
        </w:rPr>
        <w:t>versa</w:t>
      </w:r>
      <w:r w:rsidRPr="00591DBA">
        <w:rPr>
          <w:rFonts w:ascii="Verdana" w:hAnsi="Verdana" w:cs="Arial"/>
          <w:lang w:eastAsia="es-ES"/>
        </w:rPr>
        <w:t xml:space="preserve"> sobre la </w:t>
      </w:r>
      <w:r>
        <w:rPr>
          <w:rFonts w:ascii="Verdana" w:hAnsi="Verdana" w:cs="Arial"/>
          <w:b/>
          <w:bCs/>
          <w:lang w:eastAsia="es-ES"/>
        </w:rPr>
        <w:t>conven</w:t>
      </w:r>
      <w:r w:rsidR="00106383">
        <w:rPr>
          <w:rFonts w:ascii="Verdana" w:hAnsi="Verdana" w:cs="Arial"/>
          <w:b/>
          <w:bCs/>
          <w:lang w:eastAsia="es-ES"/>
        </w:rPr>
        <w:t>ien</w:t>
      </w:r>
      <w:r>
        <w:rPr>
          <w:rFonts w:ascii="Verdana" w:hAnsi="Verdana" w:cs="Arial"/>
          <w:b/>
          <w:bCs/>
          <w:lang w:eastAsia="es-ES"/>
        </w:rPr>
        <w:t>cia jurídica y económica de la cláusula compromisoria</w:t>
      </w:r>
      <w:r w:rsidRPr="00591DBA">
        <w:rPr>
          <w:rFonts w:ascii="Verdana" w:hAnsi="Verdana" w:cs="Arial"/>
          <w:lang w:eastAsia="es-ES"/>
        </w:rPr>
        <w:t>:</w:t>
      </w:r>
      <w:r>
        <w:rPr>
          <w:rFonts w:ascii="Verdana" w:hAnsi="Verdana" w:cs="Arial"/>
          <w:i/>
          <w:iCs/>
          <w:lang w:eastAsia="es-ES"/>
        </w:rPr>
        <w:t xml:space="preserve"> </w:t>
      </w:r>
      <w:r w:rsidR="00106383" w:rsidRPr="0090080A">
        <w:rPr>
          <w:rFonts w:ascii="Verdana" w:hAnsi="Verdana" w:cs="Arial"/>
          <w:i/>
          <w:iCs/>
          <w:lang w:eastAsia="es-ES"/>
        </w:rPr>
        <w:t>“</w:t>
      </w:r>
      <w:r w:rsidRPr="0090080A">
        <w:rPr>
          <w:rFonts w:ascii="Verdana" w:hAnsi="Verdana" w:cs="Arial"/>
          <w:i/>
          <w:iCs/>
          <w:lang w:eastAsia="es-ES"/>
        </w:rPr>
        <w:t>(</w:t>
      </w:r>
      <w:proofErr w:type="spellStart"/>
      <w:r w:rsidRPr="0090080A">
        <w:rPr>
          <w:rFonts w:ascii="Verdana" w:hAnsi="Verdana" w:cs="Arial"/>
          <w:i/>
          <w:iCs/>
          <w:lang w:eastAsia="es-ES"/>
        </w:rPr>
        <w:t>ii</w:t>
      </w:r>
      <w:proofErr w:type="spellEnd"/>
      <w:r w:rsidRPr="0090080A">
        <w:rPr>
          <w:rFonts w:ascii="Verdana" w:hAnsi="Verdana" w:cs="Arial"/>
          <w:i/>
          <w:iCs/>
          <w:lang w:eastAsia="es-ES"/>
        </w:rPr>
        <w:t>) emitir el concepto requerido por la Directiva Presidencial 05 de 2025, relativo a la conveniencia jurídica y económica de la cláusula compromisoria allí contenida.</w:t>
      </w:r>
      <w:r w:rsidR="00106383" w:rsidRPr="0090080A">
        <w:rPr>
          <w:rFonts w:ascii="Verdana" w:hAnsi="Verdana" w:cs="Arial"/>
          <w:i/>
          <w:iCs/>
          <w:lang w:eastAsia="es-ES"/>
        </w:rPr>
        <w:t>”</w:t>
      </w:r>
    </w:p>
    <w:p w14:paraId="587AA968" w14:textId="768A1EEB" w:rsidR="00106383" w:rsidRPr="00106383" w:rsidRDefault="00106383" w:rsidP="003969C1">
      <w:pPr>
        <w:spacing w:after="240" w:line="276" w:lineRule="auto"/>
        <w:jc w:val="both"/>
        <w:rPr>
          <w:rFonts w:ascii="Verdana" w:hAnsi="Verdana" w:cs="Arial"/>
          <w:lang w:eastAsia="es-ES"/>
        </w:rPr>
      </w:pPr>
      <w:r>
        <w:rPr>
          <w:rFonts w:ascii="Verdana" w:hAnsi="Verdana" w:cs="Arial"/>
          <w:lang w:eastAsia="es-ES"/>
        </w:rPr>
        <w:t>Así las cosas, dada la diferencia entre solicitudes</w:t>
      </w:r>
      <w:r w:rsidR="006E1B2D">
        <w:rPr>
          <w:rFonts w:ascii="Verdana" w:hAnsi="Verdana" w:cs="Arial"/>
          <w:lang w:eastAsia="es-ES"/>
        </w:rPr>
        <w:t xml:space="preserve"> y que dicho cambio puede generar diferencias en la respuesta, </w:t>
      </w:r>
      <w:r>
        <w:rPr>
          <w:rFonts w:ascii="Verdana" w:hAnsi="Verdana" w:cs="Arial"/>
          <w:lang w:eastAsia="es-ES"/>
        </w:rPr>
        <w:t xml:space="preserve">nos permitimos dar respuesta a </w:t>
      </w:r>
      <w:r w:rsidR="006E1B2D">
        <w:rPr>
          <w:rFonts w:ascii="Verdana" w:hAnsi="Verdana" w:cs="Arial"/>
          <w:lang w:eastAsia="es-ES"/>
        </w:rPr>
        <w:t>todos los anteriores</w:t>
      </w:r>
      <w:r>
        <w:rPr>
          <w:rFonts w:ascii="Verdana" w:hAnsi="Verdana" w:cs="Arial"/>
          <w:lang w:eastAsia="es-ES"/>
        </w:rPr>
        <w:t xml:space="preserve"> interrogantes</w:t>
      </w:r>
      <w:r w:rsidR="00AC0157">
        <w:rPr>
          <w:rFonts w:ascii="Verdana" w:hAnsi="Verdana" w:cs="Arial"/>
          <w:lang w:eastAsia="es-ES"/>
        </w:rPr>
        <w:t>, condensados en los siguientes puntos:</w:t>
      </w:r>
    </w:p>
    <w:p w14:paraId="098A7670" w14:textId="213EE208" w:rsidR="006E1B2D" w:rsidRPr="00AC0157" w:rsidRDefault="00A57875" w:rsidP="003969C1">
      <w:pPr>
        <w:pStyle w:val="Prrafodelista"/>
        <w:numPr>
          <w:ilvl w:val="0"/>
          <w:numId w:val="46"/>
        </w:numPr>
        <w:spacing w:after="240" w:line="276" w:lineRule="auto"/>
        <w:jc w:val="both"/>
        <w:rPr>
          <w:rFonts w:ascii="Verdana" w:hAnsi="Verdana" w:cs="Arial"/>
          <w:lang w:eastAsia="es-ES"/>
        </w:rPr>
      </w:pPr>
      <w:r w:rsidRPr="00AC0157">
        <w:rPr>
          <w:rFonts w:ascii="Verdana" w:hAnsi="Verdana" w:cs="Arial"/>
          <w:lang w:eastAsia="es-ES"/>
        </w:rPr>
        <w:t xml:space="preserve">Respuesta frente </w:t>
      </w:r>
      <w:r w:rsidR="006E1B2D" w:rsidRPr="00AC0157">
        <w:rPr>
          <w:rFonts w:ascii="Verdana" w:hAnsi="Verdana" w:cs="Arial"/>
          <w:lang w:eastAsia="es-ES"/>
        </w:rPr>
        <w:t>a la solicitud de concepto sobre las Cláusulas Generales:</w:t>
      </w:r>
    </w:p>
    <w:p w14:paraId="1E8129DC" w14:textId="23120303" w:rsidR="006E1B2D" w:rsidRPr="00AC0157" w:rsidRDefault="006E1B2D" w:rsidP="003969C1">
      <w:pPr>
        <w:pStyle w:val="Prrafodelista"/>
        <w:numPr>
          <w:ilvl w:val="1"/>
          <w:numId w:val="46"/>
        </w:numPr>
        <w:spacing w:after="240" w:line="276" w:lineRule="auto"/>
        <w:jc w:val="both"/>
        <w:rPr>
          <w:rFonts w:ascii="Verdana" w:hAnsi="Verdana" w:cs="Arial"/>
          <w:lang w:eastAsia="es-ES"/>
        </w:rPr>
      </w:pPr>
      <w:r w:rsidRPr="00AC0157">
        <w:rPr>
          <w:rFonts w:ascii="Verdana" w:hAnsi="Verdana" w:cs="Arial"/>
          <w:lang w:eastAsia="es-ES"/>
        </w:rPr>
        <w:t xml:space="preserve">Sobre lo solicitado por la Cancillería, respecto de la capacidad legal y la competencia funcional del </w:t>
      </w:r>
      <w:proofErr w:type="spellStart"/>
      <w:r w:rsidRPr="00AC0157">
        <w:rPr>
          <w:rFonts w:ascii="Verdana" w:hAnsi="Verdana" w:cs="Arial"/>
          <w:lang w:eastAsia="es-ES"/>
        </w:rPr>
        <w:t>MinAmbiente</w:t>
      </w:r>
      <w:proofErr w:type="spellEnd"/>
      <w:r w:rsidRPr="00AC0157">
        <w:rPr>
          <w:rFonts w:ascii="Verdana" w:hAnsi="Verdana" w:cs="Arial"/>
          <w:lang w:eastAsia="es-ES"/>
        </w:rPr>
        <w:t xml:space="preserve"> para suscribir el ERPA</w:t>
      </w:r>
      <w:r w:rsidR="00B40C0B">
        <w:rPr>
          <w:rFonts w:ascii="Verdana" w:hAnsi="Verdana" w:cs="Arial"/>
          <w:lang w:eastAsia="es-ES"/>
        </w:rPr>
        <w:t xml:space="preserve"> </w:t>
      </w:r>
      <w:r w:rsidR="00B40C0B" w:rsidRPr="00F646F9">
        <w:rPr>
          <w:rFonts w:ascii="Verdana" w:hAnsi="Verdana" w:cs="Arial"/>
          <w:b/>
          <w:bCs/>
          <w:i/>
          <w:iCs/>
          <w:lang w:eastAsia="es-ES"/>
        </w:rPr>
        <w:t>(</w:t>
      </w:r>
      <w:r w:rsidR="00F646F9" w:rsidRPr="00F646F9">
        <w:rPr>
          <w:rFonts w:ascii="Verdana" w:hAnsi="Verdana" w:cs="Arial"/>
          <w:b/>
          <w:bCs/>
          <w:i/>
          <w:iCs/>
          <w:lang w:eastAsia="es-ES"/>
        </w:rPr>
        <w:t xml:space="preserve">ver </w:t>
      </w:r>
      <w:r w:rsidR="00B40C0B" w:rsidRPr="00F646F9">
        <w:rPr>
          <w:rFonts w:ascii="Verdana" w:hAnsi="Verdana" w:cs="Arial"/>
          <w:b/>
          <w:bCs/>
          <w:i/>
          <w:iCs/>
          <w:lang w:eastAsia="es-ES"/>
        </w:rPr>
        <w:t xml:space="preserve">páginas 4 a 22 del presente </w:t>
      </w:r>
      <w:r w:rsidR="00F646F9">
        <w:rPr>
          <w:rFonts w:ascii="Verdana" w:hAnsi="Verdana" w:cs="Arial"/>
          <w:b/>
          <w:bCs/>
          <w:i/>
          <w:iCs/>
          <w:lang w:eastAsia="es-ES"/>
        </w:rPr>
        <w:t>memorand</w:t>
      </w:r>
      <w:r w:rsidR="00B40C0B" w:rsidRPr="00F646F9">
        <w:rPr>
          <w:rFonts w:ascii="Verdana" w:hAnsi="Verdana" w:cs="Arial"/>
          <w:b/>
          <w:bCs/>
          <w:i/>
          <w:iCs/>
          <w:lang w:eastAsia="es-ES"/>
        </w:rPr>
        <w:t>o)</w:t>
      </w:r>
      <w:r w:rsidR="00B40C0B">
        <w:rPr>
          <w:rFonts w:ascii="Verdana" w:hAnsi="Verdana" w:cs="Arial"/>
          <w:lang w:eastAsia="es-ES"/>
        </w:rPr>
        <w:t>.</w:t>
      </w:r>
    </w:p>
    <w:p w14:paraId="672E0E91" w14:textId="27B5B9D8" w:rsidR="006E1B2D" w:rsidRPr="00AC0157" w:rsidRDefault="006E1B2D" w:rsidP="003969C1">
      <w:pPr>
        <w:pStyle w:val="Prrafodelista"/>
        <w:numPr>
          <w:ilvl w:val="1"/>
          <w:numId w:val="46"/>
        </w:numPr>
        <w:spacing w:after="240" w:line="276" w:lineRule="auto"/>
        <w:jc w:val="both"/>
        <w:rPr>
          <w:rFonts w:ascii="Verdana" w:hAnsi="Verdana" w:cs="Arial"/>
          <w:lang w:eastAsia="es-ES"/>
        </w:rPr>
      </w:pPr>
      <w:r w:rsidRPr="00AC0157">
        <w:rPr>
          <w:rFonts w:ascii="Verdana" w:hAnsi="Verdana" w:cs="Arial"/>
          <w:lang w:eastAsia="es-ES"/>
        </w:rPr>
        <w:t xml:space="preserve">Sobre </w:t>
      </w:r>
      <w:r w:rsidR="00A57875" w:rsidRPr="00AC0157">
        <w:rPr>
          <w:rFonts w:ascii="Verdana" w:hAnsi="Verdana" w:cs="Arial"/>
          <w:lang w:eastAsia="es-ES"/>
        </w:rPr>
        <w:t>la</w:t>
      </w:r>
      <w:r w:rsidRPr="00AC0157">
        <w:rPr>
          <w:rFonts w:ascii="Verdana" w:hAnsi="Verdana" w:cs="Arial"/>
          <w:lang w:eastAsia="es-ES"/>
        </w:rPr>
        <w:t xml:space="preserve"> cláusula compromisoria contenida en los términos generales</w:t>
      </w:r>
      <w:r w:rsidR="00B40C0B">
        <w:rPr>
          <w:rFonts w:ascii="Verdana" w:hAnsi="Verdana" w:cs="Arial"/>
          <w:lang w:eastAsia="es-ES"/>
        </w:rPr>
        <w:t xml:space="preserve"> </w:t>
      </w:r>
      <w:r w:rsidR="00F646F9" w:rsidRPr="00F646F9">
        <w:rPr>
          <w:rFonts w:ascii="Verdana" w:hAnsi="Verdana" w:cs="Arial"/>
          <w:b/>
          <w:bCs/>
          <w:i/>
          <w:iCs/>
          <w:lang w:eastAsia="es-ES"/>
        </w:rPr>
        <w:t xml:space="preserve">(ver páginas </w:t>
      </w:r>
      <w:r w:rsidR="00F646F9">
        <w:rPr>
          <w:rFonts w:ascii="Verdana" w:hAnsi="Verdana" w:cs="Arial"/>
          <w:b/>
          <w:bCs/>
          <w:i/>
          <w:iCs/>
          <w:lang w:eastAsia="es-ES"/>
        </w:rPr>
        <w:t>22</w:t>
      </w:r>
      <w:r w:rsidR="00F646F9" w:rsidRPr="00F646F9">
        <w:rPr>
          <w:rFonts w:ascii="Verdana" w:hAnsi="Verdana" w:cs="Arial"/>
          <w:b/>
          <w:bCs/>
          <w:i/>
          <w:iCs/>
          <w:lang w:eastAsia="es-ES"/>
        </w:rPr>
        <w:t xml:space="preserve"> a 2</w:t>
      </w:r>
      <w:r w:rsidR="00F646F9">
        <w:rPr>
          <w:rFonts w:ascii="Verdana" w:hAnsi="Verdana" w:cs="Arial"/>
          <w:b/>
          <w:bCs/>
          <w:i/>
          <w:iCs/>
          <w:lang w:eastAsia="es-ES"/>
        </w:rPr>
        <w:t>5</w:t>
      </w:r>
      <w:r w:rsidR="00F646F9" w:rsidRPr="00F646F9">
        <w:rPr>
          <w:rFonts w:ascii="Verdana" w:hAnsi="Verdana" w:cs="Arial"/>
          <w:b/>
          <w:bCs/>
          <w:i/>
          <w:iCs/>
          <w:lang w:eastAsia="es-ES"/>
        </w:rPr>
        <w:t xml:space="preserve"> del presente </w:t>
      </w:r>
      <w:r w:rsidR="00F646F9">
        <w:rPr>
          <w:rFonts w:ascii="Verdana" w:hAnsi="Verdana" w:cs="Arial"/>
          <w:b/>
          <w:bCs/>
          <w:i/>
          <w:iCs/>
          <w:lang w:eastAsia="es-ES"/>
        </w:rPr>
        <w:t>memorand</w:t>
      </w:r>
      <w:r w:rsidR="00F646F9" w:rsidRPr="00F646F9">
        <w:rPr>
          <w:rFonts w:ascii="Verdana" w:hAnsi="Verdana" w:cs="Arial"/>
          <w:b/>
          <w:bCs/>
          <w:i/>
          <w:iCs/>
          <w:lang w:eastAsia="es-ES"/>
        </w:rPr>
        <w:t>o)</w:t>
      </w:r>
      <w:r w:rsidR="00F646F9">
        <w:rPr>
          <w:rFonts w:ascii="Verdana" w:hAnsi="Verdana" w:cs="Arial"/>
          <w:lang w:eastAsia="es-ES"/>
        </w:rPr>
        <w:t>.</w:t>
      </w:r>
    </w:p>
    <w:p w14:paraId="71254EDE" w14:textId="43E87D3E" w:rsidR="00AC0157" w:rsidRPr="00AC0157" w:rsidRDefault="00AC0157" w:rsidP="003969C1">
      <w:pPr>
        <w:pStyle w:val="Prrafodelista"/>
        <w:numPr>
          <w:ilvl w:val="0"/>
          <w:numId w:val="46"/>
        </w:numPr>
        <w:spacing w:after="240" w:line="276" w:lineRule="auto"/>
        <w:jc w:val="both"/>
        <w:rPr>
          <w:rFonts w:ascii="Verdana" w:hAnsi="Verdana" w:cs="Arial"/>
          <w:lang w:eastAsia="es-ES"/>
        </w:rPr>
      </w:pPr>
      <w:r w:rsidRPr="00AC0157">
        <w:rPr>
          <w:rFonts w:ascii="Verdana" w:hAnsi="Verdana" w:cs="Arial"/>
          <w:lang w:eastAsia="es-ES"/>
        </w:rPr>
        <w:t xml:space="preserve">Respuesta frente a la solicitud sobre </w:t>
      </w:r>
      <w:r w:rsidR="00A57875" w:rsidRPr="00AC0157">
        <w:rPr>
          <w:rFonts w:ascii="Verdana" w:hAnsi="Verdana" w:cs="Arial"/>
          <w:lang w:eastAsia="es-ES"/>
        </w:rPr>
        <w:t>la Directiva Presidencia</w:t>
      </w:r>
      <w:r w:rsidR="000456F8">
        <w:rPr>
          <w:rFonts w:ascii="Verdana" w:hAnsi="Verdana" w:cs="Arial"/>
          <w:lang w:eastAsia="es-ES"/>
        </w:rPr>
        <w:t>l</w:t>
      </w:r>
      <w:r w:rsidR="00A57875" w:rsidRPr="00AC0157">
        <w:rPr>
          <w:rFonts w:ascii="Verdana" w:hAnsi="Verdana" w:cs="Arial"/>
          <w:lang w:eastAsia="es-ES"/>
        </w:rPr>
        <w:t xml:space="preserve"> 05 de 2025: </w:t>
      </w:r>
    </w:p>
    <w:p w14:paraId="57AC6F9B" w14:textId="58901A19" w:rsidR="00AC0157" w:rsidRPr="00AC0157" w:rsidRDefault="00AC0157" w:rsidP="003969C1">
      <w:pPr>
        <w:pStyle w:val="Prrafodelista"/>
        <w:numPr>
          <w:ilvl w:val="1"/>
          <w:numId w:val="46"/>
        </w:numPr>
        <w:spacing w:after="240" w:line="276" w:lineRule="auto"/>
        <w:jc w:val="both"/>
        <w:rPr>
          <w:rFonts w:ascii="Verdana" w:hAnsi="Verdana" w:cs="Arial"/>
          <w:lang w:eastAsia="es-ES"/>
        </w:rPr>
      </w:pPr>
      <w:r w:rsidRPr="00AC0157">
        <w:rPr>
          <w:rFonts w:ascii="Verdana" w:hAnsi="Verdana" w:cs="Arial"/>
          <w:lang w:eastAsia="es-ES"/>
        </w:rPr>
        <w:t>Sobre la solicitud de gestiones determinadas en la Directiva Presidencial 05 de 2025 que procedan</w:t>
      </w:r>
      <w:r w:rsidR="00F646F9">
        <w:rPr>
          <w:rFonts w:ascii="Verdana" w:hAnsi="Verdana" w:cs="Arial"/>
          <w:lang w:eastAsia="es-ES"/>
        </w:rPr>
        <w:t xml:space="preserve"> </w:t>
      </w:r>
      <w:r w:rsidR="00F646F9" w:rsidRPr="00F646F9">
        <w:rPr>
          <w:rFonts w:ascii="Verdana" w:hAnsi="Verdana" w:cs="Arial"/>
          <w:b/>
          <w:bCs/>
          <w:i/>
          <w:iCs/>
          <w:lang w:eastAsia="es-ES"/>
        </w:rPr>
        <w:t xml:space="preserve">(ver páginas </w:t>
      </w:r>
      <w:r w:rsidR="000C1705">
        <w:rPr>
          <w:rFonts w:ascii="Verdana" w:hAnsi="Verdana" w:cs="Arial"/>
          <w:b/>
          <w:bCs/>
          <w:i/>
          <w:iCs/>
          <w:lang w:eastAsia="es-ES"/>
        </w:rPr>
        <w:t>2</w:t>
      </w:r>
      <w:r w:rsidR="0090080A">
        <w:rPr>
          <w:rFonts w:ascii="Verdana" w:hAnsi="Verdana" w:cs="Arial"/>
          <w:b/>
          <w:bCs/>
          <w:i/>
          <w:iCs/>
          <w:lang w:eastAsia="es-ES"/>
        </w:rPr>
        <w:t>5</w:t>
      </w:r>
      <w:r w:rsidR="00F646F9" w:rsidRPr="00F646F9">
        <w:rPr>
          <w:rFonts w:ascii="Verdana" w:hAnsi="Verdana" w:cs="Arial"/>
          <w:b/>
          <w:bCs/>
          <w:i/>
          <w:iCs/>
          <w:lang w:eastAsia="es-ES"/>
        </w:rPr>
        <w:t xml:space="preserve"> a </w:t>
      </w:r>
      <w:r w:rsidR="009515C9">
        <w:rPr>
          <w:rFonts w:ascii="Verdana" w:hAnsi="Verdana" w:cs="Arial"/>
          <w:b/>
          <w:bCs/>
          <w:i/>
          <w:iCs/>
          <w:lang w:eastAsia="es-ES"/>
        </w:rPr>
        <w:t>29</w:t>
      </w:r>
      <w:r w:rsidR="00F646F9" w:rsidRPr="00F646F9">
        <w:rPr>
          <w:rFonts w:ascii="Verdana" w:hAnsi="Verdana" w:cs="Arial"/>
          <w:b/>
          <w:bCs/>
          <w:i/>
          <w:iCs/>
          <w:lang w:eastAsia="es-ES"/>
        </w:rPr>
        <w:t xml:space="preserve"> del presente </w:t>
      </w:r>
      <w:r w:rsidR="0090080A">
        <w:rPr>
          <w:rFonts w:ascii="Verdana" w:hAnsi="Verdana" w:cs="Arial"/>
          <w:b/>
          <w:bCs/>
          <w:i/>
          <w:iCs/>
          <w:lang w:eastAsia="es-ES"/>
        </w:rPr>
        <w:t>memorando</w:t>
      </w:r>
      <w:r w:rsidR="00F646F9" w:rsidRPr="00F646F9">
        <w:rPr>
          <w:rFonts w:ascii="Verdana" w:hAnsi="Verdana" w:cs="Arial"/>
          <w:b/>
          <w:bCs/>
          <w:i/>
          <w:iCs/>
          <w:lang w:eastAsia="es-ES"/>
        </w:rPr>
        <w:t>)</w:t>
      </w:r>
      <w:r w:rsidR="00F646F9">
        <w:rPr>
          <w:rFonts w:ascii="Verdana" w:hAnsi="Verdana" w:cs="Arial"/>
          <w:lang w:eastAsia="es-ES"/>
        </w:rPr>
        <w:t>.</w:t>
      </w:r>
    </w:p>
    <w:p w14:paraId="50CDEA61" w14:textId="7AE94672" w:rsidR="00AC0157" w:rsidRDefault="00AC0157" w:rsidP="003969C1">
      <w:pPr>
        <w:pStyle w:val="Prrafodelista"/>
        <w:numPr>
          <w:ilvl w:val="1"/>
          <w:numId w:val="46"/>
        </w:numPr>
        <w:spacing w:after="240" w:line="276" w:lineRule="auto"/>
        <w:jc w:val="both"/>
        <w:rPr>
          <w:rFonts w:ascii="Verdana" w:hAnsi="Verdana" w:cs="Arial"/>
          <w:lang w:eastAsia="es-ES"/>
        </w:rPr>
      </w:pPr>
      <w:r w:rsidRPr="00AC0157">
        <w:rPr>
          <w:rFonts w:ascii="Verdana" w:hAnsi="Verdana" w:cs="Arial"/>
          <w:lang w:eastAsia="es-ES"/>
        </w:rPr>
        <w:t>Sobre la solicitud de concepto requerido por la Directiva Presidencial 05 de 2025, relativo a la conveniencia jurídica y económica de la cláusula compromisoria allí contenida</w:t>
      </w:r>
      <w:r w:rsidR="00F646F9">
        <w:rPr>
          <w:rFonts w:ascii="Verdana" w:hAnsi="Verdana" w:cs="Arial"/>
          <w:lang w:eastAsia="es-ES"/>
        </w:rPr>
        <w:t xml:space="preserve"> </w:t>
      </w:r>
      <w:r w:rsidR="00F646F9" w:rsidRPr="00F646F9">
        <w:rPr>
          <w:rFonts w:ascii="Verdana" w:hAnsi="Verdana" w:cs="Arial"/>
          <w:b/>
          <w:bCs/>
          <w:i/>
          <w:iCs/>
          <w:lang w:eastAsia="es-ES"/>
        </w:rPr>
        <w:t xml:space="preserve">(ver </w:t>
      </w:r>
      <w:r w:rsidR="0090080A">
        <w:rPr>
          <w:rFonts w:ascii="Verdana" w:hAnsi="Verdana" w:cs="Arial"/>
          <w:b/>
          <w:bCs/>
          <w:i/>
          <w:iCs/>
          <w:lang w:eastAsia="es-ES"/>
        </w:rPr>
        <w:t>página 30</w:t>
      </w:r>
      <w:r w:rsidR="00F646F9" w:rsidRPr="00F646F9">
        <w:rPr>
          <w:rFonts w:ascii="Verdana" w:hAnsi="Verdana" w:cs="Arial"/>
          <w:b/>
          <w:bCs/>
          <w:i/>
          <w:iCs/>
          <w:lang w:eastAsia="es-ES"/>
        </w:rPr>
        <w:t xml:space="preserve"> del presente </w:t>
      </w:r>
      <w:r w:rsidR="0090080A">
        <w:rPr>
          <w:rFonts w:ascii="Verdana" w:hAnsi="Verdana" w:cs="Arial"/>
          <w:b/>
          <w:bCs/>
          <w:i/>
          <w:iCs/>
          <w:lang w:eastAsia="es-ES"/>
        </w:rPr>
        <w:t>memorando</w:t>
      </w:r>
      <w:r w:rsidR="00F646F9" w:rsidRPr="00F646F9">
        <w:rPr>
          <w:rFonts w:ascii="Verdana" w:hAnsi="Verdana" w:cs="Arial"/>
          <w:b/>
          <w:bCs/>
          <w:i/>
          <w:iCs/>
          <w:lang w:eastAsia="es-ES"/>
        </w:rPr>
        <w:t>)</w:t>
      </w:r>
      <w:r w:rsidR="00F646F9">
        <w:rPr>
          <w:rFonts w:ascii="Verdana" w:hAnsi="Verdana" w:cs="Arial"/>
          <w:lang w:eastAsia="es-ES"/>
        </w:rPr>
        <w:t>.</w:t>
      </w:r>
    </w:p>
    <w:p w14:paraId="33C1E68A" w14:textId="77777777" w:rsidR="002A2CB2" w:rsidRDefault="002A2CB2" w:rsidP="002A2CB2">
      <w:pPr>
        <w:pStyle w:val="Prrafodelista"/>
        <w:spacing w:after="240" w:line="276" w:lineRule="auto"/>
        <w:ind w:left="1440"/>
        <w:jc w:val="both"/>
        <w:rPr>
          <w:rFonts w:ascii="Verdana" w:hAnsi="Verdana" w:cs="Arial"/>
          <w:lang w:eastAsia="es-ES"/>
        </w:rPr>
      </w:pPr>
    </w:p>
    <w:p w14:paraId="1CB6371A" w14:textId="77777777" w:rsidR="0079500D" w:rsidRDefault="0079500D" w:rsidP="007B2C44">
      <w:pPr>
        <w:spacing w:after="240" w:line="276" w:lineRule="auto"/>
        <w:jc w:val="center"/>
        <w:rPr>
          <w:rFonts w:ascii="Verdana" w:hAnsi="Verdana" w:cs="Arial"/>
          <w:lang w:eastAsia="es-ES"/>
        </w:rPr>
      </w:pPr>
    </w:p>
    <w:p w14:paraId="03F1B9B3" w14:textId="77777777" w:rsidR="0079500D" w:rsidRDefault="0079500D" w:rsidP="007B2C44">
      <w:pPr>
        <w:spacing w:after="240" w:line="276" w:lineRule="auto"/>
        <w:jc w:val="center"/>
        <w:rPr>
          <w:rFonts w:ascii="Verdana" w:hAnsi="Verdana" w:cs="Arial"/>
          <w:lang w:eastAsia="es-ES"/>
        </w:rPr>
      </w:pPr>
    </w:p>
    <w:p w14:paraId="395D0D70" w14:textId="156CA48F" w:rsidR="00E144BE" w:rsidRPr="00E144BE" w:rsidRDefault="00E144BE" w:rsidP="007B2C44">
      <w:pPr>
        <w:spacing w:after="240" w:line="276" w:lineRule="auto"/>
        <w:jc w:val="center"/>
        <w:rPr>
          <w:rFonts w:ascii="Verdana" w:hAnsi="Verdana" w:cs="Arial"/>
          <w:lang w:eastAsia="es-ES"/>
        </w:rPr>
      </w:pPr>
      <w:r>
        <w:rPr>
          <w:rFonts w:ascii="Verdana" w:hAnsi="Verdana" w:cs="Arial"/>
          <w:lang w:eastAsia="es-ES"/>
        </w:rPr>
        <w:lastRenderedPageBreak/>
        <w:t>_________________________________________________________</w:t>
      </w:r>
    </w:p>
    <w:p w14:paraId="2433A948" w14:textId="73B44CAA" w:rsidR="00A13C5C" w:rsidRPr="00A13C5C" w:rsidRDefault="00AC0157" w:rsidP="00A13C5C">
      <w:pPr>
        <w:pStyle w:val="Prrafodelista"/>
        <w:numPr>
          <w:ilvl w:val="0"/>
          <w:numId w:val="48"/>
        </w:numPr>
        <w:spacing w:after="240" w:line="276" w:lineRule="auto"/>
        <w:jc w:val="both"/>
        <w:rPr>
          <w:rFonts w:ascii="Verdana" w:hAnsi="Verdana" w:cs="Arial"/>
          <w:lang w:eastAsia="es-ES"/>
        </w:rPr>
      </w:pPr>
      <w:r w:rsidRPr="00E144BE">
        <w:rPr>
          <w:rFonts w:ascii="Verdana" w:hAnsi="Verdana" w:cs="Arial"/>
          <w:b/>
          <w:bCs/>
          <w:lang w:eastAsia="es-ES"/>
        </w:rPr>
        <w:t>RESPUESTA</w:t>
      </w:r>
      <w:r w:rsidR="00E144BE" w:rsidRPr="00E144BE">
        <w:rPr>
          <w:rFonts w:ascii="Verdana" w:hAnsi="Verdana" w:cs="Arial"/>
          <w:b/>
          <w:bCs/>
          <w:lang w:eastAsia="es-ES"/>
        </w:rPr>
        <w:t xml:space="preserve"> frente a la solicitud de concepto sobre las Cláusulas Generales:</w:t>
      </w:r>
    </w:p>
    <w:p w14:paraId="1F698711" w14:textId="4343A4B9" w:rsidR="000C3A02" w:rsidRDefault="000C3A02" w:rsidP="00B40C0B">
      <w:pPr>
        <w:spacing w:after="240" w:line="276" w:lineRule="auto"/>
        <w:jc w:val="both"/>
        <w:rPr>
          <w:rFonts w:ascii="Verdana" w:hAnsi="Verdana" w:cs="Arial"/>
          <w:lang w:eastAsia="es-ES"/>
        </w:rPr>
      </w:pPr>
      <w:r w:rsidRPr="000C3A02">
        <w:rPr>
          <w:rFonts w:ascii="Verdana" w:hAnsi="Verdana" w:cs="Arial"/>
          <w:lang w:eastAsia="es-ES"/>
        </w:rPr>
        <w:t xml:space="preserve">Antes de abordar los interrogantes concretos dentro de este punto, es </w:t>
      </w:r>
      <w:r>
        <w:rPr>
          <w:rFonts w:ascii="Verdana" w:hAnsi="Verdana" w:cs="Arial"/>
          <w:lang w:eastAsia="es-ES"/>
        </w:rPr>
        <w:t xml:space="preserve">importante </w:t>
      </w:r>
      <w:r w:rsidR="00F10285">
        <w:rPr>
          <w:rFonts w:ascii="Verdana" w:hAnsi="Verdana" w:cs="Arial"/>
          <w:lang w:eastAsia="es-ES"/>
        </w:rPr>
        <w:t>señalar</w:t>
      </w:r>
      <w:r>
        <w:rPr>
          <w:rFonts w:ascii="Verdana" w:hAnsi="Verdana" w:cs="Arial"/>
          <w:lang w:eastAsia="es-ES"/>
        </w:rPr>
        <w:t xml:space="preserve"> que la Oficina Asesora Jurídica se pronunció respecto de la </w:t>
      </w:r>
      <w:r w:rsidR="00F10285">
        <w:rPr>
          <w:rFonts w:ascii="Verdana" w:hAnsi="Verdana" w:cs="Arial"/>
          <w:lang w:eastAsia="es-ES"/>
        </w:rPr>
        <w:t>Hoja de Términos</w:t>
      </w:r>
      <w:r>
        <w:rPr>
          <w:rFonts w:ascii="Verdana" w:hAnsi="Verdana" w:cs="Arial"/>
          <w:lang w:eastAsia="es-ES"/>
        </w:rPr>
        <w:t xml:space="preserve"> mediante el memorando </w:t>
      </w:r>
      <w:r w:rsidRPr="000C3A02">
        <w:rPr>
          <w:rFonts w:ascii="Verdana" w:hAnsi="Verdana" w:cs="Arial"/>
          <w:lang w:eastAsia="es-ES"/>
        </w:rPr>
        <w:t>13002025E3010529</w:t>
      </w:r>
      <w:r>
        <w:rPr>
          <w:rFonts w:ascii="Verdana" w:hAnsi="Verdana" w:cs="Arial"/>
          <w:lang w:eastAsia="es-ES"/>
        </w:rPr>
        <w:t xml:space="preserve"> dirigido a la Dirección de Cambio Climático y Gestión del Riesgo el 20 de junio de 2025, en el que se emitió la siguiente consideración:</w:t>
      </w:r>
    </w:p>
    <w:p w14:paraId="2AD0FFAE" w14:textId="322A1629" w:rsidR="000C3A02" w:rsidRPr="007B2C44" w:rsidRDefault="000C3A02" w:rsidP="003969C1">
      <w:pPr>
        <w:spacing w:after="240" w:line="276" w:lineRule="auto"/>
        <w:ind w:left="708"/>
        <w:jc w:val="both"/>
        <w:rPr>
          <w:rFonts w:ascii="Verdana" w:hAnsi="Verdana" w:cs="Arial"/>
          <w:i/>
          <w:iCs/>
          <w:sz w:val="22"/>
          <w:szCs w:val="22"/>
          <w:lang w:eastAsia="es-ES"/>
        </w:rPr>
      </w:pPr>
      <w:r w:rsidRPr="007B2C44">
        <w:rPr>
          <w:rFonts w:ascii="Verdana" w:hAnsi="Verdana" w:cs="Arial"/>
          <w:i/>
          <w:iCs/>
          <w:sz w:val="22"/>
          <w:szCs w:val="22"/>
          <w:lang w:eastAsia="es-ES"/>
        </w:rPr>
        <w:t>“(…)</w:t>
      </w:r>
      <w:r w:rsidR="00F10285" w:rsidRPr="007B2C44">
        <w:rPr>
          <w:rFonts w:ascii="Verdana" w:hAnsi="Verdana" w:cs="Arial"/>
          <w:i/>
          <w:iCs/>
          <w:sz w:val="22"/>
          <w:szCs w:val="22"/>
          <w:lang w:eastAsia="es-ES"/>
        </w:rPr>
        <w:t xml:space="preserve"> </w:t>
      </w:r>
      <w:r w:rsidRPr="007B2C44">
        <w:rPr>
          <w:rFonts w:ascii="Verdana" w:hAnsi="Verdana" w:cs="Arial"/>
          <w:i/>
          <w:iCs/>
          <w:kern w:val="2"/>
          <w:sz w:val="22"/>
          <w:szCs w:val="22"/>
          <w:lang w:val="es-CO" w:eastAsia="es-ES"/>
          <w14:ligatures w14:val="standardContextual"/>
        </w:rPr>
        <w:t>desde esta dependencia se informa que, no se podrá dar concepto de viabilidad jurídica</w:t>
      </w:r>
      <w:r w:rsidRPr="007B2C44">
        <w:rPr>
          <w:rFonts w:ascii="Verdana" w:hAnsi="Verdana" w:cs="Arial"/>
          <w:i/>
          <w:iCs/>
          <w:sz w:val="22"/>
          <w:szCs w:val="22"/>
          <w:lang w:eastAsia="es-ES"/>
        </w:rPr>
        <w:t xml:space="preserve"> </w:t>
      </w:r>
      <w:r w:rsidRPr="007B2C44">
        <w:rPr>
          <w:rFonts w:ascii="Verdana" w:hAnsi="Verdana" w:cs="Arial"/>
          <w:i/>
          <w:iCs/>
          <w:kern w:val="2"/>
          <w:sz w:val="22"/>
          <w:szCs w:val="22"/>
          <w:lang w:val="es-CO" w:eastAsia="es-ES"/>
          <w14:ligatures w14:val="standardContextual"/>
        </w:rPr>
        <w:t>hasta tanto los documentos que soporten la hoja de términos -incluyendo esta misma-</w:t>
      </w:r>
      <w:r w:rsidRPr="007B2C44">
        <w:rPr>
          <w:rFonts w:ascii="Verdana" w:hAnsi="Verdana" w:cs="Arial"/>
          <w:i/>
          <w:iCs/>
          <w:sz w:val="22"/>
          <w:szCs w:val="22"/>
          <w:lang w:eastAsia="es-ES"/>
        </w:rPr>
        <w:t xml:space="preserve">, </w:t>
      </w:r>
      <w:r w:rsidRPr="007B2C44">
        <w:rPr>
          <w:rFonts w:ascii="Verdana" w:hAnsi="Verdana" w:cs="Arial"/>
          <w:i/>
          <w:iCs/>
          <w:kern w:val="2"/>
          <w:sz w:val="22"/>
          <w:szCs w:val="22"/>
          <w:lang w:val="es-CO" w:eastAsia="es-ES"/>
          <w14:ligatures w14:val="standardContextual"/>
        </w:rPr>
        <w:t>gocen de carácter vinculante en un futuro acuerdo de negociación con las partes</w:t>
      </w:r>
      <w:r w:rsidRPr="007B2C44">
        <w:rPr>
          <w:rFonts w:ascii="Verdana" w:hAnsi="Verdana" w:cs="Arial"/>
          <w:i/>
          <w:iCs/>
          <w:sz w:val="22"/>
          <w:szCs w:val="22"/>
          <w:lang w:eastAsia="es-ES"/>
        </w:rPr>
        <w:t xml:space="preserve"> </w:t>
      </w:r>
      <w:r w:rsidR="00F10285" w:rsidRPr="007B2C44">
        <w:rPr>
          <w:rFonts w:ascii="Verdana" w:hAnsi="Verdana" w:cs="Arial"/>
          <w:i/>
          <w:iCs/>
          <w:sz w:val="22"/>
          <w:szCs w:val="22"/>
          <w:lang w:eastAsia="es-ES"/>
        </w:rPr>
        <w:t>r</w:t>
      </w:r>
      <w:r w:rsidRPr="007B2C44">
        <w:rPr>
          <w:rFonts w:ascii="Verdana" w:hAnsi="Verdana" w:cs="Arial"/>
          <w:i/>
          <w:iCs/>
          <w:kern w:val="2"/>
          <w:sz w:val="22"/>
          <w:szCs w:val="22"/>
          <w:lang w:val="es-CO" w:eastAsia="es-ES"/>
          <w14:ligatures w14:val="standardContextual"/>
        </w:rPr>
        <w:t>equeridas.</w:t>
      </w:r>
    </w:p>
    <w:p w14:paraId="57B204B2" w14:textId="207D022C" w:rsidR="00F10285" w:rsidRPr="007B2C44" w:rsidRDefault="000C3A02" w:rsidP="18F40C24">
      <w:pPr>
        <w:spacing w:after="240" w:line="276" w:lineRule="auto"/>
        <w:ind w:left="708"/>
        <w:jc w:val="both"/>
        <w:rPr>
          <w:rFonts w:ascii="Verdana" w:hAnsi="Verdana" w:cs="Arial"/>
          <w:i/>
          <w:iCs/>
          <w:kern w:val="2"/>
          <w:sz w:val="22"/>
          <w:szCs w:val="22"/>
          <w:lang w:val="es-CO" w:eastAsia="es-ES"/>
          <w14:ligatures w14:val="standardContextual"/>
        </w:rPr>
      </w:pPr>
      <w:r w:rsidRPr="18F40C24">
        <w:rPr>
          <w:rFonts w:ascii="Verdana" w:hAnsi="Verdana" w:cs="Arial"/>
          <w:i/>
          <w:iCs/>
          <w:kern w:val="2"/>
          <w:sz w:val="22"/>
          <w:szCs w:val="22"/>
          <w:lang w:val="es-CO" w:eastAsia="es-ES"/>
          <w14:ligatures w14:val="standardContextual"/>
        </w:rPr>
        <w:t>En atención a lo anterior, se devuelve la documentación radicada vía ARCA para que desde</w:t>
      </w:r>
      <w:r w:rsidRPr="18F40C24">
        <w:rPr>
          <w:rFonts w:ascii="Verdana" w:hAnsi="Verdana" w:cs="Arial"/>
          <w:i/>
          <w:iCs/>
          <w:sz w:val="22"/>
          <w:szCs w:val="22"/>
          <w:lang w:eastAsia="es-ES"/>
        </w:rPr>
        <w:t xml:space="preserve"> </w:t>
      </w:r>
      <w:r w:rsidRPr="18F40C24">
        <w:rPr>
          <w:rFonts w:ascii="Verdana" w:hAnsi="Verdana" w:cs="Arial"/>
          <w:i/>
          <w:iCs/>
          <w:kern w:val="2"/>
          <w:sz w:val="22"/>
          <w:szCs w:val="22"/>
          <w:lang w:val="es-CO" w:eastAsia="es-ES"/>
          <w14:ligatures w14:val="standardContextual"/>
        </w:rPr>
        <w:t>su dependencia se continué con el trámite de negociación contractual respectivo a efectos</w:t>
      </w:r>
      <w:r w:rsidRPr="18F40C24">
        <w:rPr>
          <w:rFonts w:ascii="Verdana" w:hAnsi="Verdana" w:cs="Arial"/>
          <w:i/>
          <w:iCs/>
          <w:sz w:val="22"/>
          <w:szCs w:val="22"/>
          <w:lang w:eastAsia="es-ES"/>
        </w:rPr>
        <w:t xml:space="preserve"> </w:t>
      </w:r>
      <w:r w:rsidRPr="18F40C24">
        <w:rPr>
          <w:rFonts w:ascii="Verdana" w:hAnsi="Verdana" w:cs="Arial"/>
          <w:i/>
          <w:iCs/>
          <w:kern w:val="2"/>
          <w:sz w:val="22"/>
          <w:szCs w:val="22"/>
          <w:lang w:val="es-CO" w:eastAsia="es-ES"/>
          <w14:ligatures w14:val="standardContextual"/>
        </w:rPr>
        <w:t>de materializar los compromisos adquiridos por la Señora Ministra; no sin antes mencionar</w:t>
      </w:r>
      <w:r w:rsidRPr="18F40C24">
        <w:rPr>
          <w:rFonts w:ascii="Verdana" w:hAnsi="Verdana" w:cs="Arial"/>
          <w:i/>
          <w:iCs/>
          <w:sz w:val="22"/>
          <w:szCs w:val="22"/>
          <w:lang w:eastAsia="es-ES"/>
        </w:rPr>
        <w:t xml:space="preserve"> </w:t>
      </w:r>
      <w:r w:rsidRPr="18F40C24">
        <w:rPr>
          <w:rFonts w:ascii="Verdana" w:hAnsi="Verdana" w:cs="Arial"/>
          <w:i/>
          <w:iCs/>
          <w:kern w:val="2"/>
          <w:sz w:val="22"/>
          <w:szCs w:val="22"/>
          <w:lang w:val="es-CO" w:eastAsia="es-ES"/>
          <w14:ligatures w14:val="standardContextual"/>
        </w:rPr>
        <w:t>que de la revisión efectuada por parte de esta Oficina a la hoja de términos, se hace</w:t>
      </w:r>
      <w:r w:rsidRPr="18F40C24">
        <w:rPr>
          <w:rFonts w:ascii="Verdana" w:hAnsi="Verdana" w:cs="Arial"/>
          <w:i/>
          <w:iCs/>
          <w:sz w:val="22"/>
          <w:szCs w:val="22"/>
          <w:lang w:eastAsia="es-ES"/>
        </w:rPr>
        <w:t xml:space="preserve"> </w:t>
      </w:r>
      <w:r w:rsidRPr="18F40C24">
        <w:rPr>
          <w:rFonts w:ascii="Verdana" w:hAnsi="Verdana" w:cs="Arial"/>
          <w:i/>
          <w:iCs/>
          <w:kern w:val="2"/>
          <w:sz w:val="22"/>
          <w:szCs w:val="22"/>
          <w:lang w:val="es-CO" w:eastAsia="es-ES"/>
          <w14:ligatures w14:val="standardContextual"/>
        </w:rPr>
        <w:t>necesario señalar que, en lo referente al tema de la tenencia de la tierra y derechos de</w:t>
      </w:r>
      <w:r w:rsidRPr="18F40C24">
        <w:rPr>
          <w:rFonts w:ascii="Verdana" w:hAnsi="Verdana" w:cs="Arial"/>
          <w:i/>
          <w:iCs/>
          <w:sz w:val="22"/>
          <w:szCs w:val="22"/>
          <w:lang w:eastAsia="es-ES"/>
        </w:rPr>
        <w:t xml:space="preserve"> </w:t>
      </w:r>
      <w:r w:rsidRPr="18F40C24">
        <w:rPr>
          <w:rFonts w:ascii="Verdana" w:hAnsi="Verdana" w:cs="Arial"/>
          <w:i/>
          <w:iCs/>
          <w:kern w:val="2"/>
          <w:sz w:val="22"/>
          <w:szCs w:val="22"/>
          <w:lang w:val="es-CO" w:eastAsia="es-ES"/>
          <w14:ligatures w14:val="standardContextual"/>
        </w:rPr>
        <w:t>propiedad</w:t>
      </w:r>
      <w:r w:rsidR="3D25F91B" w:rsidRPr="18F40C24">
        <w:rPr>
          <w:rFonts w:ascii="Verdana" w:hAnsi="Verdana" w:cs="Arial"/>
          <w:i/>
          <w:iCs/>
          <w:kern w:val="2"/>
          <w:sz w:val="22"/>
          <w:szCs w:val="22"/>
          <w:lang w:val="es-CO" w:eastAsia="es-ES"/>
          <w14:ligatures w14:val="standardContextual"/>
        </w:rPr>
        <w:t>,</w:t>
      </w:r>
      <w:r w:rsidRPr="18F40C24">
        <w:rPr>
          <w:rFonts w:ascii="Verdana" w:hAnsi="Verdana" w:cs="Arial"/>
          <w:i/>
          <w:iCs/>
          <w:kern w:val="2"/>
          <w:sz w:val="22"/>
          <w:szCs w:val="22"/>
          <w:lang w:val="es-CO" w:eastAsia="es-ES"/>
          <w14:ligatures w14:val="standardContextual"/>
        </w:rPr>
        <w:t xml:space="preserve"> se sugiere tener presente que desde la perspectiva jurídica, uno de los aspectos</w:t>
      </w:r>
      <w:r w:rsidRPr="18F40C24">
        <w:rPr>
          <w:rFonts w:ascii="Verdana" w:hAnsi="Verdana" w:cs="Arial"/>
          <w:i/>
          <w:iCs/>
          <w:sz w:val="22"/>
          <w:szCs w:val="22"/>
          <w:lang w:eastAsia="es-ES"/>
        </w:rPr>
        <w:t xml:space="preserve"> </w:t>
      </w:r>
      <w:r w:rsidRPr="18F40C24">
        <w:rPr>
          <w:rFonts w:ascii="Verdana" w:hAnsi="Verdana" w:cs="Arial"/>
          <w:i/>
          <w:iCs/>
          <w:kern w:val="2"/>
          <w:sz w:val="22"/>
          <w:szCs w:val="22"/>
          <w:lang w:val="es-CO" w:eastAsia="es-ES"/>
          <w14:ligatures w14:val="standardContextual"/>
        </w:rPr>
        <w:t>que constituye el desarrollo de las iniciativas de reducción de emisiones de gases de efecto</w:t>
      </w:r>
      <w:r w:rsidR="00F10285" w:rsidRPr="18F40C24">
        <w:rPr>
          <w:rFonts w:ascii="Verdana" w:hAnsi="Verdana" w:cs="Arial"/>
          <w:i/>
          <w:iCs/>
          <w:kern w:val="2"/>
          <w:sz w:val="22"/>
          <w:szCs w:val="22"/>
          <w:lang w:val="es-CO" w:eastAsia="es-ES"/>
          <w14:ligatures w14:val="standardContextual"/>
        </w:rPr>
        <w:t xml:space="preserve"> invernadero se centra en el hecho de que hasta la fecha, no se ha definido en el país, la</w:t>
      </w:r>
      <w:r w:rsidR="00F10285" w:rsidRPr="18F40C24">
        <w:rPr>
          <w:rFonts w:ascii="Verdana" w:hAnsi="Verdana" w:cs="Arial"/>
          <w:i/>
          <w:iCs/>
          <w:sz w:val="22"/>
          <w:szCs w:val="22"/>
          <w:lang w:eastAsia="es-ES"/>
        </w:rPr>
        <w:t xml:space="preserve"> </w:t>
      </w:r>
      <w:r w:rsidR="00F10285" w:rsidRPr="18F40C24">
        <w:rPr>
          <w:rFonts w:ascii="Verdana" w:hAnsi="Verdana" w:cs="Arial"/>
          <w:i/>
          <w:iCs/>
          <w:kern w:val="2"/>
          <w:sz w:val="22"/>
          <w:szCs w:val="22"/>
          <w:lang w:val="es-CO" w:eastAsia="es-ES"/>
          <w14:ligatures w14:val="standardContextual"/>
        </w:rPr>
        <w:t>naturaleza jurídica del carbono como recurso que impulsa este tipo de iniciativas y su</w:t>
      </w:r>
      <w:r w:rsidR="00F10285" w:rsidRPr="18F40C24">
        <w:rPr>
          <w:rFonts w:ascii="Verdana" w:hAnsi="Verdana" w:cs="Arial"/>
          <w:i/>
          <w:iCs/>
          <w:sz w:val="22"/>
          <w:szCs w:val="22"/>
          <w:lang w:eastAsia="es-ES"/>
        </w:rPr>
        <w:t xml:space="preserve"> </w:t>
      </w:r>
      <w:r w:rsidR="00F10285" w:rsidRPr="18F40C24">
        <w:rPr>
          <w:rFonts w:ascii="Verdana" w:hAnsi="Verdana" w:cs="Arial"/>
          <w:i/>
          <w:iCs/>
          <w:kern w:val="2"/>
          <w:sz w:val="22"/>
          <w:szCs w:val="22"/>
          <w:lang w:val="es-CO" w:eastAsia="es-ES"/>
          <w14:ligatures w14:val="standardContextual"/>
        </w:rPr>
        <w:t>forzosa diferencia con la figura de la titularidad de las iniciativas de mitigación del cambio</w:t>
      </w:r>
      <w:r w:rsidR="00F10285" w:rsidRPr="18F40C24">
        <w:rPr>
          <w:rFonts w:ascii="Verdana" w:hAnsi="Verdana" w:cs="Arial"/>
          <w:i/>
          <w:iCs/>
          <w:sz w:val="22"/>
          <w:szCs w:val="22"/>
          <w:lang w:eastAsia="es-ES"/>
        </w:rPr>
        <w:t xml:space="preserve"> </w:t>
      </w:r>
      <w:r w:rsidR="00F10285" w:rsidRPr="18F40C24">
        <w:rPr>
          <w:rFonts w:ascii="Verdana" w:hAnsi="Verdana" w:cs="Arial"/>
          <w:i/>
          <w:iCs/>
          <w:kern w:val="2"/>
          <w:sz w:val="22"/>
          <w:szCs w:val="22"/>
          <w:lang w:val="es-CO" w:eastAsia="es-ES"/>
          <w14:ligatures w14:val="standardContextual"/>
        </w:rPr>
        <w:t>climático, contemplada en el artículo 3 de la Resolución 1447 de 2018.</w:t>
      </w:r>
      <w:r w:rsidR="00F10285" w:rsidRPr="18F40C24">
        <w:rPr>
          <w:rFonts w:ascii="Verdana" w:hAnsi="Verdana" w:cs="Arial"/>
          <w:i/>
          <w:iCs/>
          <w:sz w:val="22"/>
          <w:szCs w:val="22"/>
          <w:lang w:eastAsia="es-ES"/>
        </w:rPr>
        <w:t>”</w:t>
      </w:r>
    </w:p>
    <w:p w14:paraId="1D1AD331" w14:textId="13C1FABE" w:rsidR="000C3A02" w:rsidRPr="003969C1" w:rsidRDefault="00F10285" w:rsidP="00B40C0B">
      <w:pPr>
        <w:spacing w:after="240" w:line="276" w:lineRule="auto"/>
        <w:jc w:val="both"/>
        <w:rPr>
          <w:rFonts w:ascii="Verdana" w:hAnsi="Verdana" w:cs="Arial"/>
          <w:kern w:val="2"/>
          <w:sz w:val="22"/>
          <w:szCs w:val="22"/>
          <w:lang w:val="es-CO" w:eastAsia="es-ES"/>
          <w14:ligatures w14:val="standardContextual"/>
        </w:rPr>
      </w:pPr>
      <w:r>
        <w:rPr>
          <w:rFonts w:ascii="Verdana" w:hAnsi="Verdana" w:cs="Arial"/>
          <w:lang w:eastAsia="es-ES"/>
        </w:rPr>
        <w:t xml:space="preserve">Lo anterior es relevante tenerlo en cuenta, en la medida que el Acuerdo Marco del ERPA sí está sujeto a negociación, una vez se llegue a un acuerdo sobre la Hoja de Términos. </w:t>
      </w:r>
    </w:p>
    <w:p w14:paraId="71D617F7" w14:textId="1ACA0895" w:rsidR="00B40C0B" w:rsidRPr="00B40C0B" w:rsidRDefault="000C3A02" w:rsidP="00B40C0B">
      <w:pPr>
        <w:pStyle w:val="Prrafodelista"/>
        <w:numPr>
          <w:ilvl w:val="1"/>
          <w:numId w:val="48"/>
        </w:numPr>
        <w:spacing w:after="240" w:line="276" w:lineRule="auto"/>
        <w:jc w:val="both"/>
        <w:rPr>
          <w:rFonts w:ascii="Verdana" w:hAnsi="Verdana" w:cs="Arial"/>
          <w:b/>
          <w:bCs/>
          <w:lang w:eastAsia="es-ES"/>
        </w:rPr>
      </w:pPr>
      <w:r w:rsidRPr="00D71BCF">
        <w:rPr>
          <w:rFonts w:ascii="Verdana" w:hAnsi="Verdana" w:cs="Arial"/>
          <w:b/>
          <w:bCs/>
          <w:lang w:eastAsia="es-ES"/>
        </w:rPr>
        <w:t xml:space="preserve">Sobre lo solicitado por la Cancillería, respecto de la capacidad legal y la competencia funcional del </w:t>
      </w:r>
      <w:proofErr w:type="spellStart"/>
      <w:r w:rsidRPr="00D71BCF">
        <w:rPr>
          <w:rFonts w:ascii="Verdana" w:hAnsi="Verdana" w:cs="Arial"/>
          <w:b/>
          <w:bCs/>
          <w:lang w:eastAsia="es-ES"/>
        </w:rPr>
        <w:t>MinAmbiente</w:t>
      </w:r>
      <w:proofErr w:type="spellEnd"/>
      <w:r w:rsidRPr="00D71BCF">
        <w:rPr>
          <w:rFonts w:ascii="Verdana" w:hAnsi="Verdana" w:cs="Arial"/>
          <w:b/>
          <w:bCs/>
          <w:lang w:eastAsia="es-ES"/>
        </w:rPr>
        <w:t xml:space="preserve"> para suscribir el ERPA</w:t>
      </w:r>
      <w:r w:rsidR="00B40C0B" w:rsidRPr="00B40C0B">
        <w:rPr>
          <w:rFonts w:ascii="Verdana" w:hAnsi="Verdana" w:cs="Arial"/>
          <w:b/>
          <w:bCs/>
          <w:lang w:eastAsia="es-ES"/>
        </w:rPr>
        <w:t>.</w:t>
      </w:r>
    </w:p>
    <w:p w14:paraId="36AEA72B" w14:textId="1CE28E39" w:rsidR="00E32F32" w:rsidRDefault="00F10285" w:rsidP="003969C1">
      <w:pPr>
        <w:spacing w:after="240" w:line="276" w:lineRule="auto"/>
        <w:jc w:val="both"/>
        <w:rPr>
          <w:rFonts w:ascii="Verdana" w:hAnsi="Verdana" w:cs="Arial"/>
          <w:lang w:eastAsia="es-ES"/>
        </w:rPr>
      </w:pPr>
      <w:r>
        <w:rPr>
          <w:rFonts w:ascii="Verdana" w:hAnsi="Verdana" w:cs="Arial"/>
          <w:lang w:eastAsia="es-ES"/>
        </w:rPr>
        <w:lastRenderedPageBreak/>
        <w:t>Ahora bien, respecto a este punto, se recuerda que la Cancillería</w:t>
      </w:r>
      <w:r w:rsidR="0043733D">
        <w:rPr>
          <w:rFonts w:ascii="Verdana" w:hAnsi="Verdana" w:cs="Arial"/>
          <w:lang w:eastAsia="es-ES"/>
        </w:rPr>
        <w:t xml:space="preserve">, </w:t>
      </w:r>
      <w:r>
        <w:rPr>
          <w:rFonts w:ascii="Verdana" w:hAnsi="Verdana" w:cs="Arial"/>
          <w:lang w:eastAsia="es-ES"/>
        </w:rPr>
        <w:t>en el oficio S-GTAJI-25-036637 del 14 de octubre de 2025</w:t>
      </w:r>
      <w:r w:rsidR="0043733D">
        <w:rPr>
          <w:rFonts w:ascii="Verdana" w:hAnsi="Verdana" w:cs="Arial"/>
          <w:lang w:eastAsia="es-ES"/>
        </w:rPr>
        <w:t>,</w:t>
      </w:r>
      <w:r>
        <w:rPr>
          <w:rFonts w:ascii="Verdana" w:hAnsi="Verdana" w:cs="Arial"/>
          <w:lang w:eastAsia="es-ES"/>
        </w:rPr>
        <w:t xml:space="preserve"> sostuvo que en este caso concreto</w:t>
      </w:r>
      <w:r w:rsidR="00E32F32">
        <w:rPr>
          <w:rFonts w:ascii="Verdana" w:hAnsi="Verdana" w:cs="Arial"/>
          <w:lang w:eastAsia="es-ES"/>
        </w:rPr>
        <w:t xml:space="preserve"> del ERPA</w:t>
      </w:r>
      <w:r>
        <w:rPr>
          <w:rFonts w:ascii="Verdana" w:hAnsi="Verdana" w:cs="Arial"/>
          <w:lang w:eastAsia="es-ES"/>
        </w:rPr>
        <w:t>, al tratarse de un acuerdo (tanto la Hoja de Términos como las Condiciones Generales)</w:t>
      </w:r>
      <w:r w:rsidR="00E32F32">
        <w:rPr>
          <w:rFonts w:ascii="Verdana" w:hAnsi="Verdana" w:cs="Arial"/>
          <w:lang w:eastAsia="es-ES"/>
        </w:rPr>
        <w:t xml:space="preserve"> regido por el derecho inglés (cláusula 17.02), no constituye un tratado internacional de Derecho Internacional Público, es decir, no se enmarca dentro del ámbito de aplicación de la Convención de Viena sobre el Derecho de los Tratados de 1969 y, por lo tanto, al trasladarse al ámbito del Derecho Internacional Privado, </w:t>
      </w:r>
      <w:r>
        <w:rPr>
          <w:rFonts w:ascii="Verdana" w:hAnsi="Verdana" w:cs="Arial"/>
          <w:lang w:eastAsia="es-ES"/>
        </w:rPr>
        <w:t xml:space="preserve">el Ministerio de Ambiente y Desarrollo Sostenible puede celebrar </w:t>
      </w:r>
      <w:r w:rsidR="00E32F32">
        <w:rPr>
          <w:rFonts w:ascii="Verdana" w:hAnsi="Verdana" w:cs="Arial"/>
          <w:lang w:eastAsia="es-ES"/>
        </w:rPr>
        <w:t>contratos</w:t>
      </w:r>
      <w:r>
        <w:rPr>
          <w:rFonts w:ascii="Verdana" w:hAnsi="Verdana" w:cs="Arial"/>
          <w:lang w:eastAsia="es-ES"/>
        </w:rPr>
        <w:t>, pero no como parte del Estado o del Gobierno de Colombia</w:t>
      </w:r>
      <w:r w:rsidR="00E32F32">
        <w:rPr>
          <w:rFonts w:ascii="Verdana" w:hAnsi="Verdana" w:cs="Arial"/>
          <w:lang w:eastAsia="es-ES"/>
        </w:rPr>
        <w:t>, siempre que se cumplan los siguientes requisitos:</w:t>
      </w:r>
    </w:p>
    <w:p w14:paraId="15ADD412" w14:textId="154B4692" w:rsidR="00E32F32" w:rsidRPr="0079500D" w:rsidRDefault="00AD7CE6" w:rsidP="003969C1">
      <w:pPr>
        <w:pStyle w:val="Prrafodelista"/>
        <w:numPr>
          <w:ilvl w:val="0"/>
          <w:numId w:val="49"/>
        </w:numPr>
        <w:spacing w:after="240" w:line="276" w:lineRule="auto"/>
        <w:jc w:val="both"/>
        <w:rPr>
          <w:rFonts w:ascii="Verdana" w:hAnsi="Verdana" w:cs="Arial"/>
          <w:lang w:eastAsia="es-ES"/>
        </w:rPr>
      </w:pPr>
      <w:r w:rsidRPr="0079500D">
        <w:rPr>
          <w:rFonts w:ascii="Verdana" w:hAnsi="Verdana" w:cs="Arial"/>
          <w:lang w:eastAsia="es-ES"/>
        </w:rPr>
        <w:t xml:space="preserve">Primer requisito: </w:t>
      </w:r>
      <w:r w:rsidR="00E32F32" w:rsidRPr="0079500D">
        <w:rPr>
          <w:rFonts w:ascii="Verdana" w:hAnsi="Verdana" w:cs="Arial"/>
          <w:lang w:eastAsia="es-ES"/>
        </w:rPr>
        <w:t>Que el objeto del contrato esté directamente relacionado con las funciones misionales</w:t>
      </w:r>
      <w:r w:rsidR="00D71BCF" w:rsidRPr="0079500D">
        <w:rPr>
          <w:rFonts w:ascii="Verdana" w:hAnsi="Verdana" w:cs="Arial"/>
          <w:lang w:eastAsia="es-ES"/>
        </w:rPr>
        <w:t xml:space="preserve">, para lo cual corresponderá a la Oficina Asesora Jurídica de cada entidad </w:t>
      </w:r>
      <w:r w:rsidR="00D71BCF" w:rsidRPr="0079500D">
        <w:rPr>
          <w:rFonts w:ascii="Verdana" w:hAnsi="Verdana" w:cs="Arial"/>
          <w:i/>
          <w:iCs/>
          <w:lang w:eastAsia="es-ES"/>
        </w:rPr>
        <w:t>determinar si cuentan con capacidad y competencia para asumir los compromisos derivados del ERPA</w:t>
      </w:r>
      <w:r w:rsidR="00D71BCF" w:rsidRPr="0079500D">
        <w:rPr>
          <w:rFonts w:ascii="Verdana" w:hAnsi="Verdana" w:cs="Arial"/>
          <w:lang w:eastAsia="es-ES"/>
        </w:rPr>
        <w:t>.</w:t>
      </w:r>
    </w:p>
    <w:p w14:paraId="7378C357" w14:textId="05E24FF5" w:rsidR="00F10285" w:rsidRPr="0079500D" w:rsidRDefault="00AD7CE6" w:rsidP="003969C1">
      <w:pPr>
        <w:pStyle w:val="Prrafodelista"/>
        <w:numPr>
          <w:ilvl w:val="0"/>
          <w:numId w:val="49"/>
        </w:numPr>
        <w:spacing w:after="240" w:line="276" w:lineRule="auto"/>
        <w:jc w:val="both"/>
        <w:rPr>
          <w:rFonts w:ascii="Verdana" w:hAnsi="Verdana" w:cs="Arial"/>
          <w:lang w:eastAsia="es-ES"/>
        </w:rPr>
      </w:pPr>
      <w:r w:rsidRPr="0079500D">
        <w:rPr>
          <w:rFonts w:ascii="Verdana" w:hAnsi="Verdana" w:cs="Arial"/>
          <w:lang w:eastAsia="es-ES"/>
        </w:rPr>
        <w:t xml:space="preserve">Segundo requisito: </w:t>
      </w:r>
      <w:r w:rsidR="00E32F32" w:rsidRPr="0079500D">
        <w:rPr>
          <w:rFonts w:ascii="Verdana" w:hAnsi="Verdana" w:cs="Arial"/>
          <w:lang w:eastAsia="es-ES"/>
        </w:rPr>
        <w:t>Que se respete la Ley 80 de 1993 y la Ley 1150 de 2007</w:t>
      </w:r>
      <w:r w:rsidR="0079500D">
        <w:rPr>
          <w:rFonts w:ascii="Verdana" w:hAnsi="Verdana" w:cs="Arial"/>
          <w:lang w:eastAsia="es-ES"/>
        </w:rPr>
        <w:t xml:space="preserve"> (se abordará en el análisis de la cláusula compromisoria dentro de la normatividad aplicable)</w:t>
      </w:r>
    </w:p>
    <w:p w14:paraId="30BD4837" w14:textId="66E5D2D1" w:rsidR="00E32F32" w:rsidRPr="0079500D" w:rsidRDefault="00AD7CE6" w:rsidP="003969C1">
      <w:pPr>
        <w:pStyle w:val="Prrafodelista"/>
        <w:numPr>
          <w:ilvl w:val="0"/>
          <w:numId w:val="49"/>
        </w:numPr>
        <w:spacing w:after="240" w:line="276" w:lineRule="auto"/>
        <w:jc w:val="both"/>
        <w:rPr>
          <w:rFonts w:ascii="Verdana" w:hAnsi="Verdana" w:cs="Arial"/>
          <w:lang w:eastAsia="es-ES"/>
        </w:rPr>
      </w:pPr>
      <w:r w:rsidRPr="0079500D">
        <w:rPr>
          <w:rFonts w:ascii="Verdana" w:hAnsi="Verdana" w:cs="Arial"/>
          <w:lang w:eastAsia="es-ES"/>
        </w:rPr>
        <w:t xml:space="preserve">Tercer requisito: </w:t>
      </w:r>
      <w:r w:rsidR="00E32F32" w:rsidRPr="0079500D">
        <w:rPr>
          <w:rFonts w:ascii="Verdana" w:hAnsi="Verdana" w:cs="Arial"/>
          <w:lang w:eastAsia="es-ES"/>
        </w:rPr>
        <w:t>Que se cuente con la autorización del Estado colombiano para desempeñar el rol de Entidades del Programa</w:t>
      </w:r>
      <w:r w:rsidR="004E2FD3" w:rsidRPr="0079500D">
        <w:rPr>
          <w:rStyle w:val="Refdenotaalpie"/>
          <w:rFonts w:ascii="Verdana" w:hAnsi="Verdana" w:cs="Arial"/>
          <w:lang w:eastAsia="es-ES"/>
        </w:rPr>
        <w:footnoteReference w:id="1"/>
      </w:r>
      <w:r w:rsidR="00E32F32" w:rsidRPr="0079500D">
        <w:rPr>
          <w:rFonts w:ascii="Verdana" w:hAnsi="Verdana" w:cs="Arial"/>
          <w:lang w:eastAsia="es-ES"/>
        </w:rPr>
        <w:t xml:space="preserve"> (debe autorizarlo el país anfitrión)</w:t>
      </w:r>
      <w:r w:rsidR="0079500D">
        <w:rPr>
          <w:rFonts w:ascii="Verdana" w:hAnsi="Verdana" w:cs="Arial"/>
          <w:lang w:eastAsia="es-ES"/>
        </w:rPr>
        <w:t>. Esta autorización debe surtirse por parte de la Oficina de Asuntos Internacionales, por lo tanto, no nos pronunciaremos al respecto.</w:t>
      </w:r>
    </w:p>
    <w:p w14:paraId="30BAFCBA" w14:textId="6C8E0C39" w:rsidR="009C3BD7" w:rsidRDefault="009C3BD7" w:rsidP="003969C1">
      <w:pPr>
        <w:spacing w:after="240" w:line="276" w:lineRule="auto"/>
        <w:jc w:val="both"/>
        <w:rPr>
          <w:rFonts w:ascii="Verdana" w:hAnsi="Verdana" w:cs="Arial"/>
          <w:lang w:eastAsia="es-ES"/>
        </w:rPr>
      </w:pPr>
      <w:r>
        <w:rPr>
          <w:rFonts w:ascii="Verdana" w:hAnsi="Verdana" w:cs="Arial"/>
          <w:lang w:eastAsia="es-ES"/>
        </w:rPr>
        <w:t>Si bien la Cancillería no ofrece un sustento jurídico para afirmar que deben ser las oficinas jurídicas de cada entidad las encargadas de brindar el concepto relativo a las competencias misionales de la entidad y su relación con el objeto del contrato internacional</w:t>
      </w:r>
      <w:r w:rsidR="0079500D">
        <w:rPr>
          <w:rFonts w:ascii="Verdana" w:hAnsi="Verdana" w:cs="Arial"/>
          <w:lang w:eastAsia="es-ES"/>
        </w:rPr>
        <w:t>,</w:t>
      </w:r>
      <w:r>
        <w:rPr>
          <w:rFonts w:ascii="Verdana" w:hAnsi="Verdana" w:cs="Arial"/>
          <w:lang w:eastAsia="es-ES"/>
        </w:rPr>
        <w:t xml:space="preserve"> en virtud del numeral 6 del artículo 11 del Decreto 3570 de 2011, se identifica la siguiente función de la Oficina Asesora Jurídica del Ministerio de Ambiente y Desarrollo Sostenible:</w:t>
      </w:r>
    </w:p>
    <w:p w14:paraId="43B6A323" w14:textId="04CDACDA" w:rsidR="009C3BD7" w:rsidRPr="007B2C44" w:rsidRDefault="009C3BD7" w:rsidP="003969C1">
      <w:pPr>
        <w:spacing w:after="240" w:line="276" w:lineRule="auto"/>
        <w:ind w:left="708"/>
        <w:jc w:val="both"/>
        <w:rPr>
          <w:rFonts w:ascii="Verdana" w:hAnsi="Verdana" w:cs="Arial"/>
          <w:i/>
          <w:iCs/>
          <w:sz w:val="22"/>
          <w:szCs w:val="22"/>
          <w:lang w:eastAsia="es-ES"/>
        </w:rPr>
      </w:pPr>
      <w:r w:rsidRPr="007B2C44">
        <w:rPr>
          <w:rFonts w:ascii="Verdana" w:hAnsi="Verdana" w:cs="Arial"/>
          <w:b/>
          <w:bCs/>
          <w:i/>
          <w:iCs/>
          <w:sz w:val="22"/>
          <w:szCs w:val="22"/>
          <w:lang w:eastAsia="es-ES"/>
        </w:rPr>
        <w:lastRenderedPageBreak/>
        <w:t>“ARTÍCULO 11. Funciones de la Oficina Asesora Jurídica.</w:t>
      </w:r>
      <w:r w:rsidRPr="007B2C44">
        <w:rPr>
          <w:rFonts w:ascii="Verdana" w:hAnsi="Verdana" w:cs="Arial"/>
          <w:i/>
          <w:iCs/>
          <w:sz w:val="22"/>
          <w:szCs w:val="22"/>
          <w:lang w:eastAsia="es-ES"/>
        </w:rPr>
        <w:t xml:space="preserve"> Son funciones de la Oficina Asesora Jurídica, las siguientes: </w:t>
      </w:r>
    </w:p>
    <w:p w14:paraId="1D2E9353" w14:textId="77777777" w:rsidR="009C3BD7" w:rsidRPr="007B2C44" w:rsidRDefault="009C3BD7" w:rsidP="003969C1">
      <w:pPr>
        <w:spacing w:after="240" w:line="276" w:lineRule="auto"/>
        <w:ind w:left="708"/>
        <w:jc w:val="both"/>
        <w:rPr>
          <w:rFonts w:ascii="Verdana" w:hAnsi="Verdana" w:cs="Arial"/>
          <w:i/>
          <w:iCs/>
          <w:sz w:val="22"/>
          <w:szCs w:val="22"/>
          <w:lang w:eastAsia="es-ES"/>
        </w:rPr>
      </w:pPr>
      <w:r w:rsidRPr="007B2C44">
        <w:rPr>
          <w:rFonts w:ascii="Verdana" w:hAnsi="Verdana" w:cs="Arial"/>
          <w:i/>
          <w:iCs/>
          <w:sz w:val="22"/>
          <w:szCs w:val="22"/>
          <w:lang w:eastAsia="es-ES"/>
        </w:rPr>
        <w:t xml:space="preserve">(…) </w:t>
      </w:r>
    </w:p>
    <w:p w14:paraId="2883A4DB" w14:textId="77777777" w:rsidR="009C3BD7" w:rsidRPr="007B2C44" w:rsidRDefault="009C3BD7" w:rsidP="003969C1">
      <w:pPr>
        <w:spacing w:after="240" w:line="276" w:lineRule="auto"/>
        <w:ind w:left="708"/>
        <w:jc w:val="both"/>
        <w:rPr>
          <w:rFonts w:ascii="Verdana" w:hAnsi="Verdana" w:cs="Arial"/>
          <w:i/>
          <w:iCs/>
          <w:sz w:val="22"/>
          <w:szCs w:val="22"/>
          <w:lang w:eastAsia="es-ES"/>
        </w:rPr>
      </w:pPr>
      <w:r w:rsidRPr="007B2C44">
        <w:rPr>
          <w:rFonts w:ascii="Verdana" w:hAnsi="Verdana" w:cs="Arial"/>
          <w:i/>
          <w:iCs/>
          <w:sz w:val="22"/>
          <w:szCs w:val="22"/>
          <w:lang w:eastAsia="es-ES"/>
        </w:rPr>
        <w:t xml:space="preserve">6. Emitir </w:t>
      </w:r>
      <w:r w:rsidRPr="007B2C44">
        <w:rPr>
          <w:rFonts w:ascii="Verdana" w:hAnsi="Verdana" w:cs="Arial"/>
          <w:b/>
          <w:bCs/>
          <w:i/>
          <w:iCs/>
          <w:sz w:val="22"/>
          <w:szCs w:val="22"/>
          <w:lang w:eastAsia="es-ES"/>
        </w:rPr>
        <w:t xml:space="preserve">conceptos </w:t>
      </w:r>
      <w:r w:rsidRPr="007B2C44">
        <w:rPr>
          <w:rFonts w:ascii="Verdana" w:hAnsi="Verdana" w:cs="Arial"/>
          <w:b/>
          <w:bCs/>
          <w:i/>
          <w:iCs/>
          <w:sz w:val="22"/>
          <w:szCs w:val="22"/>
          <w:u w:val="single"/>
          <w:lang w:eastAsia="es-ES"/>
        </w:rPr>
        <w:t>jurídicos</w:t>
      </w:r>
      <w:r w:rsidRPr="007B2C44">
        <w:rPr>
          <w:rFonts w:ascii="Verdana" w:hAnsi="Verdana" w:cs="Arial"/>
          <w:i/>
          <w:iCs/>
          <w:sz w:val="22"/>
          <w:szCs w:val="22"/>
          <w:lang w:eastAsia="es-ES"/>
        </w:rPr>
        <w:t xml:space="preserve"> para la negociación y aplicación de tratados, convenios, protocolos y </w:t>
      </w:r>
      <w:r w:rsidRPr="007B2C44">
        <w:rPr>
          <w:rFonts w:ascii="Verdana" w:hAnsi="Verdana" w:cs="Arial"/>
          <w:b/>
          <w:bCs/>
          <w:i/>
          <w:iCs/>
          <w:sz w:val="22"/>
          <w:szCs w:val="22"/>
          <w:lang w:eastAsia="es-ES"/>
        </w:rPr>
        <w:t>demás instrumentos internacionales</w:t>
      </w:r>
      <w:r w:rsidRPr="007B2C44">
        <w:rPr>
          <w:rFonts w:ascii="Verdana" w:hAnsi="Verdana" w:cs="Arial"/>
          <w:i/>
          <w:iCs/>
          <w:sz w:val="22"/>
          <w:szCs w:val="22"/>
          <w:lang w:eastAsia="es-ES"/>
        </w:rPr>
        <w:t>.</w:t>
      </w:r>
    </w:p>
    <w:p w14:paraId="57257FB8" w14:textId="4CAE384F" w:rsidR="009C3BD7" w:rsidRPr="007B2C44" w:rsidRDefault="009C3BD7" w:rsidP="003969C1">
      <w:pPr>
        <w:spacing w:after="240" w:line="276" w:lineRule="auto"/>
        <w:ind w:left="708"/>
        <w:jc w:val="both"/>
        <w:rPr>
          <w:rFonts w:ascii="Verdana" w:hAnsi="Verdana" w:cs="Arial"/>
          <w:i/>
          <w:iCs/>
          <w:sz w:val="22"/>
          <w:szCs w:val="22"/>
          <w:lang w:eastAsia="es-ES"/>
        </w:rPr>
      </w:pPr>
      <w:r w:rsidRPr="007B2C44">
        <w:rPr>
          <w:rFonts w:ascii="Verdana" w:hAnsi="Verdana" w:cs="Arial"/>
          <w:i/>
          <w:iCs/>
          <w:sz w:val="22"/>
          <w:szCs w:val="22"/>
          <w:lang w:eastAsia="es-ES"/>
        </w:rPr>
        <w:t>(…)”</w:t>
      </w:r>
    </w:p>
    <w:p w14:paraId="4B45D440" w14:textId="05E972A2" w:rsidR="00AD7CE6" w:rsidRDefault="009C3BD7" w:rsidP="003969C1">
      <w:pPr>
        <w:spacing w:after="240" w:line="276" w:lineRule="auto"/>
        <w:jc w:val="both"/>
        <w:rPr>
          <w:rFonts w:ascii="Verdana" w:hAnsi="Verdana" w:cs="Arial"/>
          <w:lang w:eastAsia="es-ES"/>
        </w:rPr>
      </w:pPr>
      <w:r>
        <w:rPr>
          <w:rFonts w:ascii="Verdana" w:hAnsi="Verdana" w:cs="Arial"/>
          <w:lang w:eastAsia="es-ES"/>
        </w:rPr>
        <w:t>C</w:t>
      </w:r>
      <w:r w:rsidR="00D71BCF">
        <w:rPr>
          <w:rFonts w:ascii="Verdana" w:hAnsi="Verdana" w:cs="Arial"/>
          <w:lang w:eastAsia="es-ES"/>
        </w:rPr>
        <w:t xml:space="preserve">onforme a lo anterior, la Oficina Asesora Jurídica procederá a </w:t>
      </w:r>
      <w:r>
        <w:rPr>
          <w:rFonts w:ascii="Verdana" w:hAnsi="Verdana" w:cs="Arial"/>
          <w:lang w:eastAsia="es-ES"/>
        </w:rPr>
        <w:t xml:space="preserve">emitir un pronunciamiento </w:t>
      </w:r>
      <w:r w:rsidRPr="009C3BD7">
        <w:rPr>
          <w:rFonts w:ascii="Verdana" w:hAnsi="Verdana" w:cs="Arial"/>
          <w:b/>
          <w:bCs/>
          <w:u w:val="single"/>
          <w:lang w:eastAsia="es-ES"/>
        </w:rPr>
        <w:t>jurídic</w:t>
      </w:r>
      <w:r>
        <w:rPr>
          <w:rFonts w:ascii="Verdana" w:hAnsi="Verdana" w:cs="Arial"/>
          <w:b/>
          <w:bCs/>
          <w:u w:val="single"/>
          <w:lang w:eastAsia="es-ES"/>
        </w:rPr>
        <w:t>o</w:t>
      </w:r>
      <w:r w:rsidR="00D71BCF">
        <w:rPr>
          <w:rFonts w:ascii="Verdana" w:hAnsi="Verdana" w:cs="Arial"/>
          <w:lang w:eastAsia="es-ES"/>
        </w:rPr>
        <w:t xml:space="preserve"> respecto del </w:t>
      </w:r>
      <w:r w:rsidR="00D71BCF" w:rsidRPr="00AD7CE6">
        <w:rPr>
          <w:rFonts w:ascii="Verdana" w:hAnsi="Verdana" w:cs="Arial"/>
          <w:b/>
          <w:bCs/>
          <w:lang w:eastAsia="es-ES"/>
        </w:rPr>
        <w:t xml:space="preserve">primer </w:t>
      </w:r>
      <w:r w:rsidR="00AD7CE6" w:rsidRPr="00AD7CE6">
        <w:rPr>
          <w:rFonts w:ascii="Verdana" w:hAnsi="Verdana" w:cs="Arial"/>
          <w:b/>
          <w:bCs/>
          <w:lang w:eastAsia="es-ES"/>
        </w:rPr>
        <w:t>requisito</w:t>
      </w:r>
      <w:r w:rsidR="00AD7CE6">
        <w:rPr>
          <w:rStyle w:val="Refdenotaalpie"/>
          <w:rFonts w:ascii="Verdana" w:hAnsi="Verdana" w:cs="Arial"/>
          <w:lang w:eastAsia="es-ES"/>
        </w:rPr>
        <w:footnoteReference w:id="2"/>
      </w:r>
      <w:r w:rsidR="00D71BCF">
        <w:rPr>
          <w:rFonts w:ascii="Verdana" w:hAnsi="Verdana" w:cs="Arial"/>
          <w:lang w:eastAsia="es-ES"/>
        </w:rPr>
        <w:t xml:space="preserve">, </w:t>
      </w:r>
      <w:r w:rsidR="00AD7CE6">
        <w:rPr>
          <w:rFonts w:ascii="Verdana" w:hAnsi="Verdana" w:cs="Arial"/>
          <w:lang w:eastAsia="es-ES"/>
        </w:rPr>
        <w:t>más no técnico ni financiero, ya que dichos aspectos escapan a la órbita de competencias de esta Oficina.</w:t>
      </w:r>
    </w:p>
    <w:p w14:paraId="7EA5F9F0" w14:textId="2EA4A359" w:rsidR="00D71BCF" w:rsidRDefault="00AD7CE6" w:rsidP="003969C1">
      <w:pPr>
        <w:spacing w:after="240" w:line="276" w:lineRule="auto"/>
        <w:jc w:val="both"/>
        <w:rPr>
          <w:rFonts w:ascii="Verdana" w:hAnsi="Verdana" w:cs="Arial"/>
          <w:lang w:eastAsia="es-ES"/>
        </w:rPr>
      </w:pPr>
      <w:r>
        <w:rPr>
          <w:rFonts w:ascii="Verdana" w:hAnsi="Verdana" w:cs="Arial"/>
          <w:lang w:eastAsia="es-ES"/>
        </w:rPr>
        <w:t xml:space="preserve">Adicionalmente, sólo nos pronunciaremos respecto del </w:t>
      </w:r>
      <w:r w:rsidRPr="00672815">
        <w:rPr>
          <w:rFonts w:ascii="Verdana" w:hAnsi="Verdana" w:cs="Arial"/>
          <w:b/>
          <w:bCs/>
          <w:lang w:eastAsia="es-ES"/>
        </w:rPr>
        <w:t>primer requisito</w:t>
      </w:r>
      <w:r w:rsidR="00672815">
        <w:rPr>
          <w:rFonts w:ascii="Verdana" w:hAnsi="Verdana" w:cs="Arial"/>
          <w:lang w:eastAsia="es-ES"/>
        </w:rPr>
        <w:t xml:space="preserve">, </w:t>
      </w:r>
      <w:r w:rsidR="00D71BCF">
        <w:rPr>
          <w:rFonts w:ascii="Verdana" w:hAnsi="Verdana" w:cs="Arial"/>
          <w:lang w:eastAsia="es-ES"/>
        </w:rPr>
        <w:t xml:space="preserve">ya que es sobre aquél que versa la </w:t>
      </w:r>
      <w:r w:rsidR="00D71BCF" w:rsidRPr="006656B2">
        <w:rPr>
          <w:rFonts w:ascii="Verdana" w:hAnsi="Verdana" w:cs="Arial"/>
          <w:b/>
          <w:bCs/>
          <w:lang w:eastAsia="es-ES"/>
        </w:rPr>
        <w:t>capacidad y competencia para asumir compromisos derivados del ERPA</w:t>
      </w:r>
      <w:r w:rsidR="00D71BCF">
        <w:rPr>
          <w:rFonts w:ascii="Verdana" w:hAnsi="Verdana" w:cs="Arial"/>
          <w:lang w:eastAsia="es-ES"/>
        </w:rPr>
        <w:t>, quedando los puntos restantes bajo responsabilidad del Grupo de Contratos de la Subdirección Administrativa y Financiera (punto sobre el respeto al régimen de contratación estatal) y de la Oficina de Asuntos internacionales (punto sobre la autorización del Estado colombiano como país anfitrión</w:t>
      </w:r>
      <w:r w:rsidR="004E2FD3">
        <w:rPr>
          <w:rFonts w:ascii="Verdana" w:hAnsi="Verdana" w:cs="Arial"/>
          <w:lang w:eastAsia="es-ES"/>
        </w:rPr>
        <w:t xml:space="preserve"> para que el Ministerio de Ambiente sea Entidad del Programa</w:t>
      </w:r>
      <w:r w:rsidR="00D71BCF">
        <w:rPr>
          <w:rFonts w:ascii="Verdana" w:hAnsi="Verdana" w:cs="Arial"/>
          <w:lang w:eastAsia="es-ES"/>
        </w:rPr>
        <w:t xml:space="preserve">). </w:t>
      </w:r>
    </w:p>
    <w:p w14:paraId="7615B739" w14:textId="44F0001C" w:rsidR="006656B2" w:rsidRPr="006656B2" w:rsidRDefault="006656B2" w:rsidP="003969C1">
      <w:pPr>
        <w:spacing w:after="240" w:line="276" w:lineRule="auto"/>
        <w:jc w:val="both"/>
        <w:rPr>
          <w:rFonts w:ascii="Verdana" w:hAnsi="Verdana" w:cs="Arial"/>
          <w:b/>
          <w:bCs/>
          <w:u w:val="single"/>
          <w:lang w:eastAsia="es-ES"/>
        </w:rPr>
      </w:pPr>
      <w:r w:rsidRPr="006656B2">
        <w:rPr>
          <w:rFonts w:ascii="Verdana" w:hAnsi="Verdana" w:cs="Arial"/>
          <w:b/>
          <w:bCs/>
          <w:u w:val="single"/>
          <w:lang w:eastAsia="es-ES"/>
        </w:rPr>
        <w:t>Respecto de la competencia:</w:t>
      </w:r>
    </w:p>
    <w:p w14:paraId="064E079A" w14:textId="36397DCF" w:rsidR="00AD7CE6" w:rsidRDefault="004579C0" w:rsidP="003969C1">
      <w:pPr>
        <w:spacing w:after="240" w:line="276" w:lineRule="auto"/>
        <w:jc w:val="both"/>
        <w:rPr>
          <w:rFonts w:ascii="Verdana" w:hAnsi="Verdana" w:cs="Arial"/>
          <w:lang w:eastAsia="es-ES"/>
        </w:rPr>
      </w:pPr>
      <w:r>
        <w:rPr>
          <w:rFonts w:ascii="Verdana" w:hAnsi="Verdana" w:cs="Arial"/>
          <w:lang w:eastAsia="es-ES"/>
        </w:rPr>
        <w:t>A</w:t>
      </w:r>
      <w:r w:rsidR="00672815">
        <w:rPr>
          <w:rFonts w:ascii="Verdana" w:hAnsi="Verdana" w:cs="Arial"/>
          <w:lang w:eastAsia="es-ES"/>
        </w:rPr>
        <w:t>sí las cosas, a</w:t>
      </w:r>
      <w:r>
        <w:rPr>
          <w:rFonts w:ascii="Verdana" w:hAnsi="Verdana" w:cs="Arial"/>
          <w:lang w:eastAsia="es-ES"/>
        </w:rPr>
        <w:t xml:space="preserve"> partir de la revisión del documento </w:t>
      </w:r>
      <w:r w:rsidRPr="004579C0">
        <w:rPr>
          <w:rFonts w:ascii="Verdana" w:hAnsi="Verdana" w:cs="Arial"/>
          <w:i/>
          <w:iCs/>
          <w:lang w:eastAsia="es-ES"/>
        </w:rPr>
        <w:t xml:space="preserve">“General </w:t>
      </w:r>
      <w:proofErr w:type="spellStart"/>
      <w:r w:rsidRPr="004579C0">
        <w:rPr>
          <w:rFonts w:ascii="Verdana" w:hAnsi="Verdana" w:cs="Arial"/>
          <w:i/>
          <w:iCs/>
          <w:lang w:eastAsia="es-ES"/>
        </w:rPr>
        <w:t>Conditions</w:t>
      </w:r>
      <w:proofErr w:type="spellEnd"/>
      <w:r w:rsidRPr="004579C0">
        <w:rPr>
          <w:rFonts w:ascii="Verdana" w:hAnsi="Verdana" w:cs="Arial"/>
          <w:i/>
          <w:iCs/>
          <w:lang w:eastAsia="es-ES"/>
        </w:rPr>
        <w:t xml:space="preserve"> </w:t>
      </w:r>
      <w:proofErr w:type="spellStart"/>
      <w:r w:rsidRPr="004579C0">
        <w:rPr>
          <w:rFonts w:ascii="Verdana" w:hAnsi="Verdana" w:cs="Arial"/>
          <w:i/>
          <w:iCs/>
          <w:lang w:eastAsia="es-ES"/>
        </w:rPr>
        <w:t>Applicable</w:t>
      </w:r>
      <w:proofErr w:type="spellEnd"/>
      <w:r w:rsidRPr="004579C0">
        <w:rPr>
          <w:rFonts w:ascii="Verdana" w:hAnsi="Verdana" w:cs="Arial"/>
          <w:i/>
          <w:iCs/>
          <w:lang w:eastAsia="es-ES"/>
        </w:rPr>
        <w:t xml:space="preserve"> </w:t>
      </w:r>
      <w:proofErr w:type="spellStart"/>
      <w:r w:rsidRPr="004579C0">
        <w:rPr>
          <w:rFonts w:ascii="Verdana" w:hAnsi="Verdana" w:cs="Arial"/>
          <w:i/>
          <w:iCs/>
          <w:lang w:eastAsia="es-ES"/>
        </w:rPr>
        <w:t>to</w:t>
      </w:r>
      <w:proofErr w:type="spellEnd"/>
      <w:r w:rsidRPr="004579C0">
        <w:rPr>
          <w:rFonts w:ascii="Verdana" w:hAnsi="Verdana" w:cs="Arial"/>
          <w:i/>
          <w:iCs/>
          <w:lang w:eastAsia="es-ES"/>
        </w:rPr>
        <w:t xml:space="preserve"> ERPA Framework </w:t>
      </w:r>
      <w:proofErr w:type="spellStart"/>
      <w:r w:rsidRPr="004579C0">
        <w:rPr>
          <w:rFonts w:ascii="Verdana" w:hAnsi="Verdana" w:cs="Arial"/>
          <w:i/>
          <w:iCs/>
          <w:lang w:eastAsia="es-ES"/>
        </w:rPr>
        <w:t>Agreements</w:t>
      </w:r>
      <w:proofErr w:type="spellEnd"/>
      <w:r w:rsidRPr="004579C0">
        <w:rPr>
          <w:rFonts w:ascii="Verdana" w:hAnsi="Verdana" w:cs="Arial"/>
          <w:i/>
          <w:iCs/>
          <w:lang w:eastAsia="es-ES"/>
        </w:rPr>
        <w:t xml:space="preserve"> and ERPA </w:t>
      </w:r>
      <w:proofErr w:type="spellStart"/>
      <w:r w:rsidRPr="004579C0">
        <w:rPr>
          <w:rFonts w:ascii="Verdana" w:hAnsi="Verdana" w:cs="Arial"/>
          <w:i/>
          <w:iCs/>
          <w:lang w:eastAsia="es-ES"/>
        </w:rPr>
        <w:t>Phase</w:t>
      </w:r>
      <w:proofErr w:type="spellEnd"/>
      <w:r w:rsidRPr="004579C0">
        <w:rPr>
          <w:rFonts w:ascii="Verdana" w:hAnsi="Verdana" w:cs="Arial"/>
          <w:i/>
          <w:iCs/>
          <w:lang w:eastAsia="es-ES"/>
        </w:rPr>
        <w:t xml:space="preserve"> </w:t>
      </w:r>
      <w:proofErr w:type="spellStart"/>
      <w:r w:rsidRPr="004579C0">
        <w:rPr>
          <w:rFonts w:ascii="Verdana" w:hAnsi="Verdana" w:cs="Arial"/>
          <w:i/>
          <w:iCs/>
          <w:lang w:eastAsia="es-ES"/>
        </w:rPr>
        <w:t>Agreements</w:t>
      </w:r>
      <w:proofErr w:type="spellEnd"/>
      <w:r w:rsidRPr="004579C0">
        <w:rPr>
          <w:rFonts w:ascii="Verdana" w:hAnsi="Verdana" w:cs="Arial"/>
          <w:i/>
          <w:iCs/>
          <w:lang w:eastAsia="es-ES"/>
        </w:rPr>
        <w:t xml:space="preserve"> </w:t>
      </w:r>
      <w:proofErr w:type="spellStart"/>
      <w:r w:rsidRPr="004579C0">
        <w:rPr>
          <w:rFonts w:ascii="Verdana" w:hAnsi="Verdana" w:cs="Arial"/>
          <w:i/>
          <w:iCs/>
          <w:lang w:eastAsia="es-ES"/>
        </w:rPr>
        <w:t>for</w:t>
      </w:r>
      <w:proofErr w:type="spellEnd"/>
      <w:r w:rsidRPr="004579C0">
        <w:rPr>
          <w:rFonts w:ascii="Verdana" w:hAnsi="Verdana" w:cs="Arial"/>
          <w:i/>
          <w:iCs/>
          <w:lang w:eastAsia="es-ES"/>
        </w:rPr>
        <w:t xml:space="preserve"> </w:t>
      </w:r>
      <w:proofErr w:type="spellStart"/>
      <w:r w:rsidRPr="004579C0">
        <w:rPr>
          <w:rFonts w:ascii="Verdana" w:hAnsi="Verdana" w:cs="Arial"/>
          <w:i/>
          <w:iCs/>
          <w:lang w:eastAsia="es-ES"/>
        </w:rPr>
        <w:t>BioCarbon</w:t>
      </w:r>
      <w:proofErr w:type="spellEnd"/>
      <w:r w:rsidRPr="004579C0">
        <w:rPr>
          <w:rFonts w:ascii="Verdana" w:hAnsi="Verdana" w:cs="Arial"/>
          <w:i/>
          <w:iCs/>
          <w:lang w:eastAsia="es-ES"/>
        </w:rPr>
        <w:t xml:space="preserve"> Fund </w:t>
      </w:r>
      <w:proofErr w:type="spellStart"/>
      <w:r w:rsidRPr="004579C0">
        <w:rPr>
          <w:rFonts w:ascii="Verdana" w:hAnsi="Verdana" w:cs="Arial"/>
          <w:i/>
          <w:iCs/>
          <w:lang w:eastAsia="es-ES"/>
        </w:rPr>
        <w:t>Initiative</w:t>
      </w:r>
      <w:proofErr w:type="spellEnd"/>
      <w:r w:rsidRPr="004579C0">
        <w:rPr>
          <w:rFonts w:ascii="Verdana" w:hAnsi="Verdana" w:cs="Arial"/>
          <w:i/>
          <w:iCs/>
          <w:lang w:eastAsia="es-ES"/>
        </w:rPr>
        <w:t xml:space="preserve"> </w:t>
      </w:r>
      <w:proofErr w:type="spellStart"/>
      <w:r w:rsidRPr="004579C0">
        <w:rPr>
          <w:rFonts w:ascii="Verdana" w:hAnsi="Verdana" w:cs="Arial"/>
          <w:i/>
          <w:iCs/>
          <w:lang w:eastAsia="es-ES"/>
        </w:rPr>
        <w:t>for</w:t>
      </w:r>
      <w:proofErr w:type="spellEnd"/>
      <w:r w:rsidRPr="004579C0">
        <w:rPr>
          <w:rFonts w:ascii="Verdana" w:hAnsi="Verdana" w:cs="Arial"/>
          <w:i/>
          <w:iCs/>
          <w:lang w:eastAsia="es-ES"/>
        </w:rPr>
        <w:t xml:space="preserve"> </w:t>
      </w:r>
      <w:proofErr w:type="spellStart"/>
      <w:r w:rsidRPr="004579C0">
        <w:rPr>
          <w:rFonts w:ascii="Verdana" w:hAnsi="Verdana" w:cs="Arial"/>
          <w:i/>
          <w:iCs/>
          <w:lang w:eastAsia="es-ES"/>
        </w:rPr>
        <w:t>Sustainable</w:t>
      </w:r>
      <w:proofErr w:type="spellEnd"/>
      <w:r w:rsidRPr="004579C0">
        <w:rPr>
          <w:rFonts w:ascii="Verdana" w:hAnsi="Verdana" w:cs="Arial"/>
          <w:i/>
          <w:iCs/>
          <w:lang w:eastAsia="es-ES"/>
        </w:rPr>
        <w:t xml:space="preserve"> Forest </w:t>
      </w:r>
      <w:proofErr w:type="spellStart"/>
      <w:r w:rsidRPr="004579C0">
        <w:rPr>
          <w:rFonts w:ascii="Verdana" w:hAnsi="Verdana" w:cs="Arial"/>
          <w:i/>
          <w:iCs/>
          <w:lang w:eastAsia="es-ES"/>
        </w:rPr>
        <w:t>Landscapes</w:t>
      </w:r>
      <w:proofErr w:type="spellEnd"/>
      <w:r w:rsidRPr="004579C0">
        <w:rPr>
          <w:rFonts w:ascii="Verdana" w:hAnsi="Verdana" w:cs="Arial"/>
          <w:i/>
          <w:iCs/>
          <w:lang w:eastAsia="es-ES"/>
        </w:rPr>
        <w:t xml:space="preserve"> </w:t>
      </w:r>
      <w:proofErr w:type="spellStart"/>
      <w:r w:rsidRPr="004579C0">
        <w:rPr>
          <w:rFonts w:ascii="Verdana" w:hAnsi="Verdana" w:cs="Arial"/>
          <w:i/>
          <w:iCs/>
          <w:lang w:eastAsia="es-ES"/>
        </w:rPr>
        <w:t>Emission</w:t>
      </w:r>
      <w:proofErr w:type="spellEnd"/>
      <w:r w:rsidRPr="004579C0">
        <w:rPr>
          <w:rFonts w:ascii="Verdana" w:hAnsi="Verdana" w:cs="Arial"/>
          <w:i/>
          <w:iCs/>
          <w:lang w:eastAsia="es-ES"/>
        </w:rPr>
        <w:t xml:space="preserve"> </w:t>
      </w:r>
      <w:proofErr w:type="spellStart"/>
      <w:r w:rsidRPr="004579C0">
        <w:rPr>
          <w:rFonts w:ascii="Verdana" w:hAnsi="Verdana" w:cs="Arial"/>
          <w:i/>
          <w:iCs/>
          <w:lang w:eastAsia="es-ES"/>
        </w:rPr>
        <w:t>Reductions</w:t>
      </w:r>
      <w:proofErr w:type="spellEnd"/>
      <w:r w:rsidRPr="004579C0">
        <w:rPr>
          <w:rFonts w:ascii="Verdana" w:hAnsi="Verdana" w:cs="Arial"/>
          <w:i/>
          <w:iCs/>
          <w:lang w:eastAsia="es-ES"/>
        </w:rPr>
        <w:t xml:space="preserve"> Programs”</w:t>
      </w:r>
      <w:r>
        <w:rPr>
          <w:rFonts w:ascii="Verdana" w:hAnsi="Verdana" w:cs="Arial"/>
          <w:lang w:eastAsia="es-ES"/>
        </w:rPr>
        <w:t xml:space="preserve"> </w:t>
      </w:r>
      <w:r w:rsidR="006656B2">
        <w:rPr>
          <w:rFonts w:ascii="Verdana" w:hAnsi="Verdana" w:cs="Arial"/>
          <w:lang w:eastAsia="es-ES"/>
        </w:rPr>
        <w:t xml:space="preserve">o Cláusulas Generales </w:t>
      </w:r>
      <w:r>
        <w:rPr>
          <w:rFonts w:ascii="Verdana" w:hAnsi="Verdana" w:cs="Arial"/>
          <w:lang w:eastAsia="es-ES"/>
        </w:rPr>
        <w:t xml:space="preserve">se </w:t>
      </w:r>
      <w:r w:rsidR="00F55CAB">
        <w:rPr>
          <w:rFonts w:ascii="Verdana" w:hAnsi="Verdana" w:cs="Arial"/>
          <w:lang w:eastAsia="es-ES"/>
        </w:rPr>
        <w:t>identificó que el documento no cuenta con una cláusula que defina el objetivo del contrato</w:t>
      </w:r>
      <w:r w:rsidR="00AD7CE6">
        <w:rPr>
          <w:rFonts w:ascii="Verdana" w:hAnsi="Verdana" w:cs="Arial"/>
          <w:lang w:eastAsia="es-ES"/>
        </w:rPr>
        <w:t>; no obstante</w:t>
      </w:r>
      <w:r w:rsidR="00F55CAB">
        <w:rPr>
          <w:rFonts w:ascii="Verdana" w:hAnsi="Verdana" w:cs="Arial"/>
          <w:lang w:eastAsia="es-ES"/>
        </w:rPr>
        <w:t>, de acuerdo con la Sección 3.01 y la Sección 17.09</w:t>
      </w:r>
      <w:r w:rsidR="00FE55A5">
        <w:rPr>
          <w:rStyle w:val="Refdenotaalpie"/>
          <w:rFonts w:ascii="Verdana" w:hAnsi="Verdana" w:cs="Arial"/>
          <w:lang w:eastAsia="es-ES"/>
        </w:rPr>
        <w:footnoteReference w:id="3"/>
      </w:r>
      <w:r w:rsidR="00F55CAB">
        <w:rPr>
          <w:rFonts w:ascii="Verdana" w:hAnsi="Verdana" w:cs="Arial"/>
          <w:lang w:eastAsia="es-ES"/>
        </w:rPr>
        <w:t xml:space="preserve"> se </w:t>
      </w:r>
      <w:r w:rsidR="00F55CAB">
        <w:rPr>
          <w:rFonts w:ascii="Verdana" w:hAnsi="Verdana" w:cs="Arial"/>
          <w:lang w:eastAsia="es-ES"/>
        </w:rPr>
        <w:lastRenderedPageBreak/>
        <w:t>concluye que consiste en un contrato de compraventa de Reducciones de Emisiones (ER por sus siglas en inglés)</w:t>
      </w:r>
      <w:r w:rsidR="00F55CAB">
        <w:rPr>
          <w:rStyle w:val="Refdenotaalpie"/>
          <w:rFonts w:ascii="Verdana" w:hAnsi="Verdana" w:cs="Arial"/>
          <w:lang w:eastAsia="es-ES"/>
        </w:rPr>
        <w:footnoteReference w:id="4"/>
      </w:r>
      <w:r w:rsidR="00F55CAB">
        <w:rPr>
          <w:rFonts w:ascii="Verdana" w:hAnsi="Verdana" w:cs="Arial"/>
          <w:lang w:eastAsia="es-ES"/>
        </w:rPr>
        <w:t xml:space="preserve"> </w:t>
      </w:r>
      <w:r w:rsidR="00AD7CE6">
        <w:rPr>
          <w:rFonts w:ascii="Verdana" w:hAnsi="Verdana" w:cs="Arial"/>
          <w:lang w:eastAsia="es-ES"/>
        </w:rPr>
        <w:t xml:space="preserve">entre las partes: Entidad del Programa (Ministerio de Ambiente) y la Fiduciaria (Banco Mundial); del cual se derivan diferentes obligaciones y compromisos para cada una de las partes involucradas. </w:t>
      </w:r>
    </w:p>
    <w:p w14:paraId="5290E663" w14:textId="757B8A2A" w:rsidR="000F5125" w:rsidRPr="000F5125" w:rsidRDefault="000F5125" w:rsidP="003969C1">
      <w:pPr>
        <w:spacing w:after="240" w:line="276" w:lineRule="auto"/>
        <w:jc w:val="both"/>
        <w:rPr>
          <w:rFonts w:ascii="Verdana" w:hAnsi="Verdana" w:cs="Arial"/>
          <w:lang w:eastAsia="es-ES"/>
        </w:rPr>
      </w:pPr>
      <w:r>
        <w:rPr>
          <w:rFonts w:ascii="Verdana" w:hAnsi="Verdana" w:cs="Arial"/>
          <w:lang w:eastAsia="es-ES"/>
        </w:rPr>
        <w:t>Al respecto, es preciso recordar que, d</w:t>
      </w:r>
      <w:r w:rsidRPr="000F5125">
        <w:rPr>
          <w:rFonts w:ascii="Verdana" w:hAnsi="Verdana" w:cs="Arial"/>
          <w:lang w:eastAsia="es-ES"/>
        </w:rPr>
        <w:t xml:space="preserve">e acuerdo con el numeral 22 del artículo 5 de la Ley 99 de 1993, este Ministerio está facultado </w:t>
      </w:r>
      <w:r w:rsidR="006656B2">
        <w:rPr>
          <w:rFonts w:ascii="Verdana" w:hAnsi="Verdana" w:cs="Arial"/>
          <w:lang w:eastAsia="es-ES"/>
        </w:rPr>
        <w:t xml:space="preserve">o tiene la competencia </w:t>
      </w:r>
      <w:r w:rsidRPr="000F5125">
        <w:rPr>
          <w:rFonts w:ascii="Verdana" w:hAnsi="Verdana" w:cs="Arial"/>
          <w:lang w:eastAsia="es-ES"/>
        </w:rPr>
        <w:t>para</w:t>
      </w:r>
      <w:r w:rsidR="002D29C1">
        <w:rPr>
          <w:rFonts w:ascii="Verdana" w:hAnsi="Verdana" w:cs="Arial"/>
          <w:lang w:eastAsia="es-ES"/>
        </w:rPr>
        <w:t xml:space="preserve"> </w:t>
      </w:r>
      <w:r w:rsidRPr="000F5125">
        <w:rPr>
          <w:rFonts w:ascii="Verdana" w:hAnsi="Verdana" w:cs="Arial"/>
          <w:i/>
          <w:iCs/>
          <w:lang w:eastAsia="es-ES"/>
        </w:rPr>
        <w:t>“</w:t>
      </w:r>
      <w:r w:rsidRPr="000F5125">
        <w:rPr>
          <w:rFonts w:ascii="Verdana" w:hAnsi="Verdana" w:cs="Arial"/>
          <w:b/>
          <w:bCs/>
          <w:i/>
          <w:iCs/>
          <w:lang w:eastAsia="es-ES"/>
        </w:rPr>
        <w:t>[p]</w:t>
      </w:r>
      <w:proofErr w:type="spellStart"/>
      <w:r w:rsidRPr="000F5125">
        <w:rPr>
          <w:rFonts w:ascii="Verdana" w:hAnsi="Verdana" w:cs="Arial"/>
          <w:b/>
          <w:bCs/>
          <w:i/>
          <w:iCs/>
          <w:lang w:eastAsia="es-ES"/>
        </w:rPr>
        <w:t>articipar</w:t>
      </w:r>
      <w:proofErr w:type="spellEnd"/>
      <w:r w:rsidRPr="000F5125">
        <w:rPr>
          <w:rFonts w:ascii="Verdana" w:hAnsi="Verdana" w:cs="Arial"/>
          <w:b/>
          <w:bCs/>
          <w:i/>
          <w:iCs/>
          <w:lang w:eastAsia="es-ES"/>
        </w:rPr>
        <w:t xml:space="preserve"> con el Ministerio de Relaciones Exteriores</w:t>
      </w:r>
      <w:r w:rsidRPr="000F5125">
        <w:rPr>
          <w:rFonts w:ascii="Verdana" w:hAnsi="Verdana" w:cs="Arial"/>
          <w:i/>
          <w:iCs/>
          <w:lang w:eastAsia="es-ES"/>
        </w:rPr>
        <w:t xml:space="preserve"> en la formulación de la política internacional en materia ambiental y definir con éste los instrumentos y </w:t>
      </w:r>
      <w:r w:rsidRPr="000F5125">
        <w:rPr>
          <w:rFonts w:ascii="Verdana" w:hAnsi="Verdana" w:cs="Arial"/>
          <w:b/>
          <w:bCs/>
          <w:i/>
          <w:iCs/>
          <w:lang w:eastAsia="es-ES"/>
        </w:rPr>
        <w:t>procedimientos de cooperación</w:t>
      </w:r>
      <w:r w:rsidRPr="000F5125">
        <w:rPr>
          <w:rFonts w:ascii="Verdana" w:hAnsi="Verdana" w:cs="Arial"/>
          <w:i/>
          <w:iCs/>
          <w:lang w:eastAsia="es-ES"/>
        </w:rPr>
        <w:t xml:space="preserve"> en la protección de los ecosistemas de las zonas fronterizas; </w:t>
      </w:r>
      <w:r w:rsidRPr="000F5125">
        <w:rPr>
          <w:rFonts w:ascii="Verdana" w:hAnsi="Verdana" w:cs="Arial"/>
          <w:b/>
          <w:bCs/>
          <w:i/>
          <w:iCs/>
          <w:lang w:eastAsia="es-ES"/>
        </w:rPr>
        <w:t>promover</w:t>
      </w:r>
      <w:r w:rsidRPr="000F5125">
        <w:rPr>
          <w:rFonts w:ascii="Verdana" w:hAnsi="Verdana" w:cs="Arial"/>
          <w:i/>
          <w:iCs/>
          <w:lang w:eastAsia="es-ES"/>
        </w:rPr>
        <w:t xml:space="preserve"> las relaciones con otros países en asuntos ambientales </w:t>
      </w:r>
      <w:r w:rsidRPr="000F5125">
        <w:rPr>
          <w:rFonts w:ascii="Verdana" w:hAnsi="Verdana" w:cs="Arial"/>
          <w:b/>
          <w:bCs/>
          <w:i/>
          <w:iCs/>
          <w:lang w:eastAsia="es-ES"/>
        </w:rPr>
        <w:t>y la cooperación multilateral para la protección de los recursos naturales</w:t>
      </w:r>
      <w:r w:rsidRPr="000F5125">
        <w:rPr>
          <w:rFonts w:ascii="Verdana" w:hAnsi="Verdana" w:cs="Arial"/>
          <w:i/>
          <w:iCs/>
          <w:lang w:eastAsia="es-ES"/>
        </w:rPr>
        <w:t xml:space="preserve"> </w:t>
      </w:r>
      <w:r w:rsidRPr="000F5125">
        <w:rPr>
          <w:rFonts w:ascii="Verdana" w:hAnsi="Verdana" w:cs="Arial"/>
          <w:i/>
          <w:iCs/>
          <w:u w:val="single"/>
          <w:lang w:eastAsia="es-ES"/>
        </w:rPr>
        <w:t>y representar al Gobierno Nacional en la ejecución de Tratados y Convenios Internacionales sobre medio ambiente y recursos naturales renovables;</w:t>
      </w:r>
      <w:r w:rsidRPr="000F5125">
        <w:rPr>
          <w:rFonts w:ascii="Verdana" w:hAnsi="Verdana" w:cs="Arial"/>
          <w:i/>
          <w:iCs/>
          <w:lang w:eastAsia="es-ES"/>
        </w:rPr>
        <w:t>”.</w:t>
      </w:r>
      <w:r w:rsidRPr="000F5125">
        <w:rPr>
          <w:rFonts w:ascii="Verdana" w:hAnsi="Verdana" w:cs="Arial"/>
          <w:lang w:eastAsia="es-ES"/>
        </w:rPr>
        <w:t xml:space="preserve"> </w:t>
      </w:r>
    </w:p>
    <w:p w14:paraId="1BE341B4" w14:textId="53543366" w:rsidR="000F5125" w:rsidRPr="000F5125" w:rsidRDefault="000F5125" w:rsidP="003969C1">
      <w:pPr>
        <w:spacing w:after="240" w:line="276" w:lineRule="auto"/>
        <w:jc w:val="both"/>
        <w:rPr>
          <w:rFonts w:ascii="Verdana" w:hAnsi="Verdana" w:cs="Arial"/>
          <w:lang w:eastAsia="es-ES"/>
        </w:rPr>
      </w:pPr>
      <w:r w:rsidRPr="000F5125">
        <w:rPr>
          <w:rFonts w:ascii="Verdana" w:hAnsi="Verdana" w:cs="Arial"/>
          <w:lang w:eastAsia="es-ES"/>
        </w:rPr>
        <w:t>Sin embargo, dado que el Ministerio de Relaciones Exteriores ha confirmado que este no es un tratado internacional de</w:t>
      </w:r>
      <w:r w:rsidR="002D29C1">
        <w:rPr>
          <w:rFonts w:ascii="Verdana" w:hAnsi="Verdana" w:cs="Arial"/>
          <w:lang w:eastAsia="es-ES"/>
        </w:rPr>
        <w:t>l ámbito del</w:t>
      </w:r>
      <w:r w:rsidRPr="000F5125">
        <w:rPr>
          <w:rFonts w:ascii="Verdana" w:hAnsi="Verdana" w:cs="Arial"/>
          <w:lang w:eastAsia="es-ES"/>
        </w:rPr>
        <w:t xml:space="preserve"> Derecho Internacional Público sino un contrato </w:t>
      </w:r>
      <w:r w:rsidR="002D29C1">
        <w:rPr>
          <w:rFonts w:ascii="Verdana" w:hAnsi="Verdana" w:cs="Arial"/>
          <w:lang w:eastAsia="es-ES"/>
        </w:rPr>
        <w:t>del régimen del</w:t>
      </w:r>
      <w:r w:rsidRPr="000F5125">
        <w:rPr>
          <w:rFonts w:ascii="Verdana" w:hAnsi="Verdana" w:cs="Arial"/>
          <w:lang w:eastAsia="es-ES"/>
        </w:rPr>
        <w:t xml:space="preserve"> Derecho Internacional Privado, el Ministerio de Ambiente no está facultado para representar </w:t>
      </w:r>
      <w:r>
        <w:rPr>
          <w:rFonts w:ascii="Verdana" w:hAnsi="Verdana" w:cs="Arial"/>
          <w:lang w:eastAsia="es-ES"/>
        </w:rPr>
        <w:t xml:space="preserve">al Gobierno Nacional en estas instancias, sino que debe obrar por fuera de esta cláusula, </w:t>
      </w:r>
      <w:r w:rsidR="002D29C1">
        <w:rPr>
          <w:rFonts w:ascii="Verdana" w:hAnsi="Verdana" w:cs="Arial"/>
          <w:i/>
          <w:iCs/>
          <w:lang w:eastAsia="es-ES"/>
        </w:rPr>
        <w:t>motu proprio</w:t>
      </w:r>
      <w:r w:rsidR="002D29C1">
        <w:rPr>
          <w:rFonts w:ascii="Verdana" w:hAnsi="Verdana" w:cs="Arial"/>
          <w:lang w:eastAsia="es-ES"/>
        </w:rPr>
        <w:t>, opera la Cláusula General de Competencia consagrada en el artículo 6 de la misma Ley, la cual habilita al Ministerio de Ambiente y Desarrollo Sostenible para operar bajo funciones no atribuidas legalmente a otra autoridad y que estén relacionadas con el medio ambiente y los recursos naturales renovables, así:</w:t>
      </w:r>
    </w:p>
    <w:p w14:paraId="086A4FF6" w14:textId="73C76AEC" w:rsidR="000F5125" w:rsidRPr="007B2C44" w:rsidRDefault="002D29C1" w:rsidP="003969C1">
      <w:pPr>
        <w:spacing w:after="240" w:line="276" w:lineRule="auto"/>
        <w:ind w:left="708"/>
        <w:jc w:val="both"/>
        <w:rPr>
          <w:rFonts w:ascii="Verdana" w:hAnsi="Verdana" w:cs="Arial"/>
          <w:i/>
          <w:iCs/>
          <w:sz w:val="22"/>
          <w:szCs w:val="22"/>
          <w:lang w:eastAsia="es-ES"/>
        </w:rPr>
      </w:pPr>
      <w:r w:rsidRPr="007B2C44">
        <w:rPr>
          <w:rFonts w:ascii="Verdana" w:hAnsi="Verdana" w:cs="Arial"/>
          <w:b/>
          <w:bCs/>
          <w:i/>
          <w:iCs/>
          <w:sz w:val="22"/>
          <w:szCs w:val="22"/>
          <w:lang w:eastAsia="es-ES"/>
        </w:rPr>
        <w:t>“</w:t>
      </w:r>
      <w:r w:rsidR="000F5125" w:rsidRPr="007B2C44">
        <w:rPr>
          <w:rFonts w:ascii="Verdana" w:hAnsi="Verdana" w:cs="Arial"/>
          <w:b/>
          <w:bCs/>
          <w:i/>
          <w:iCs/>
          <w:sz w:val="22"/>
          <w:szCs w:val="22"/>
          <w:lang w:eastAsia="es-ES"/>
        </w:rPr>
        <w:t>ARTÍCULO 6. Cláusula General de Competencia.</w:t>
      </w:r>
      <w:r w:rsidR="000F5125" w:rsidRPr="007B2C44">
        <w:rPr>
          <w:rFonts w:ascii="Verdana" w:hAnsi="Verdana" w:cs="Arial"/>
          <w:i/>
          <w:iCs/>
          <w:sz w:val="22"/>
          <w:szCs w:val="22"/>
          <w:lang w:eastAsia="es-ES"/>
        </w:rPr>
        <w:t xml:space="preserve"> Además de las otras funciones que le asignen la ley o los reglamentos, el Ministerio del </w:t>
      </w:r>
      <w:r w:rsidR="000F5125" w:rsidRPr="007B2C44">
        <w:rPr>
          <w:rFonts w:ascii="Verdana" w:hAnsi="Verdana" w:cs="Arial"/>
          <w:i/>
          <w:iCs/>
          <w:sz w:val="22"/>
          <w:szCs w:val="22"/>
          <w:lang w:eastAsia="es-ES"/>
        </w:rPr>
        <w:lastRenderedPageBreak/>
        <w:t>Medio Ambiente ejercerá, en lo relacionado con el medio ambiente y los recursos naturales renovables, las funciones que no hayan sido expresamente atribuidas por la ley a otra autoridad.</w:t>
      </w:r>
      <w:r w:rsidRPr="007B2C44">
        <w:rPr>
          <w:rFonts w:ascii="Verdana" w:hAnsi="Verdana" w:cs="Arial"/>
          <w:i/>
          <w:iCs/>
          <w:sz w:val="22"/>
          <w:szCs w:val="22"/>
          <w:lang w:eastAsia="es-ES"/>
        </w:rPr>
        <w:t>”</w:t>
      </w:r>
    </w:p>
    <w:p w14:paraId="7916635D" w14:textId="4EC647CD" w:rsidR="003969C1" w:rsidRDefault="003969C1" w:rsidP="003969C1">
      <w:pPr>
        <w:spacing w:after="240" w:line="276" w:lineRule="auto"/>
        <w:jc w:val="both"/>
        <w:rPr>
          <w:rFonts w:ascii="Verdana" w:hAnsi="Verdana" w:cs="Arial"/>
          <w:lang w:eastAsia="es-ES"/>
        </w:rPr>
      </w:pPr>
      <w:r>
        <w:rPr>
          <w:rFonts w:ascii="Verdana" w:hAnsi="Verdana" w:cs="Arial"/>
          <w:lang w:eastAsia="es-ES"/>
        </w:rPr>
        <w:t>Por su parte, el artículo 5 del Decreto 1682 de 2017 establece como funciones de la Dirección de Cambio Climático y Gestión del Riesgo las siguientes:</w:t>
      </w:r>
    </w:p>
    <w:p w14:paraId="15A8D2F0" w14:textId="77777777" w:rsidR="003969C1" w:rsidRPr="007B2C44" w:rsidRDefault="003969C1" w:rsidP="003969C1">
      <w:pPr>
        <w:spacing w:after="240" w:line="276" w:lineRule="auto"/>
        <w:ind w:left="708"/>
        <w:jc w:val="both"/>
        <w:rPr>
          <w:rFonts w:ascii="Verdana" w:hAnsi="Verdana" w:cs="Arial"/>
          <w:i/>
          <w:iCs/>
          <w:sz w:val="22"/>
          <w:szCs w:val="22"/>
          <w:lang w:eastAsia="es-ES"/>
        </w:rPr>
      </w:pPr>
      <w:r w:rsidRPr="007B2C44">
        <w:rPr>
          <w:rFonts w:ascii="Verdana" w:hAnsi="Verdana" w:cs="Arial"/>
          <w:i/>
          <w:iCs/>
          <w:sz w:val="22"/>
          <w:szCs w:val="22"/>
          <w:lang w:eastAsia="es-ES"/>
        </w:rPr>
        <w:t>“ARTÍCULO 5. Funciones de la Dirección de Cambio Climático y Gestión del Riesgo. Son funciones de la Dirección de Cambio Climático y Gestión del Riesgo, las siguientes:</w:t>
      </w:r>
    </w:p>
    <w:p w14:paraId="2FE59187" w14:textId="77777777" w:rsidR="003969C1" w:rsidRPr="007B2C44" w:rsidRDefault="003969C1" w:rsidP="003969C1">
      <w:pPr>
        <w:spacing w:after="240" w:line="276" w:lineRule="auto"/>
        <w:ind w:left="708"/>
        <w:jc w:val="both"/>
        <w:rPr>
          <w:rFonts w:ascii="Verdana" w:hAnsi="Verdana" w:cs="Arial"/>
          <w:i/>
          <w:iCs/>
          <w:sz w:val="22"/>
          <w:szCs w:val="22"/>
          <w:lang w:eastAsia="es-ES"/>
        </w:rPr>
      </w:pPr>
      <w:r w:rsidRPr="007B2C44">
        <w:rPr>
          <w:rFonts w:ascii="Verdana" w:hAnsi="Verdana" w:cs="Arial"/>
          <w:i/>
          <w:iCs/>
          <w:sz w:val="22"/>
          <w:szCs w:val="22"/>
          <w:lang w:eastAsia="es-ES"/>
        </w:rPr>
        <w:t>(…)</w:t>
      </w:r>
    </w:p>
    <w:p w14:paraId="255E66FF" w14:textId="2EA5F645" w:rsidR="003969C1" w:rsidRPr="007B2C44" w:rsidRDefault="003969C1" w:rsidP="003969C1">
      <w:pPr>
        <w:spacing w:after="240" w:line="276" w:lineRule="auto"/>
        <w:ind w:left="708"/>
        <w:jc w:val="both"/>
        <w:rPr>
          <w:rFonts w:ascii="Verdana" w:hAnsi="Verdana" w:cs="Arial"/>
          <w:i/>
          <w:iCs/>
          <w:sz w:val="22"/>
          <w:szCs w:val="22"/>
          <w:lang w:eastAsia="es-ES"/>
        </w:rPr>
      </w:pPr>
      <w:r w:rsidRPr="007B2C44">
        <w:rPr>
          <w:rFonts w:ascii="Verdana" w:hAnsi="Verdana" w:cs="Arial"/>
          <w:i/>
          <w:iCs/>
          <w:sz w:val="22"/>
          <w:szCs w:val="22"/>
          <w:lang w:eastAsia="es-ES"/>
        </w:rPr>
        <w:t xml:space="preserve">5. Preparar al país para la participación en mecanismos de mercado y carbono y </w:t>
      </w:r>
      <w:r w:rsidRPr="007B2C44">
        <w:rPr>
          <w:rFonts w:ascii="Verdana" w:hAnsi="Verdana" w:cs="Arial"/>
          <w:b/>
          <w:bCs/>
          <w:i/>
          <w:iCs/>
          <w:sz w:val="22"/>
          <w:szCs w:val="22"/>
          <w:lang w:eastAsia="es-ES"/>
        </w:rPr>
        <w:t>apoyar la gestión de recursos de cooperación para acciones de mitigación</w:t>
      </w:r>
      <w:r w:rsidRPr="007B2C44">
        <w:rPr>
          <w:rFonts w:ascii="Verdana" w:hAnsi="Verdana" w:cs="Arial"/>
          <w:i/>
          <w:iCs/>
          <w:sz w:val="22"/>
          <w:szCs w:val="22"/>
          <w:lang w:eastAsia="es-ES"/>
        </w:rPr>
        <w:t xml:space="preserve"> y adaptación </w:t>
      </w:r>
      <w:r w:rsidRPr="007B2C44">
        <w:rPr>
          <w:rFonts w:ascii="Verdana" w:hAnsi="Verdana" w:cs="Arial"/>
          <w:b/>
          <w:bCs/>
          <w:i/>
          <w:iCs/>
          <w:sz w:val="22"/>
          <w:szCs w:val="22"/>
          <w:lang w:eastAsia="es-ES"/>
        </w:rPr>
        <w:t>al cambio climático</w:t>
      </w:r>
      <w:r w:rsidRPr="007B2C44">
        <w:rPr>
          <w:rFonts w:ascii="Verdana" w:hAnsi="Verdana" w:cs="Arial"/>
          <w:i/>
          <w:iCs/>
          <w:sz w:val="22"/>
          <w:szCs w:val="22"/>
          <w:lang w:eastAsia="es-ES"/>
        </w:rPr>
        <w:t>, en coordinación con la Oficina de Negocios Verdes Sostenibles.</w:t>
      </w:r>
    </w:p>
    <w:p w14:paraId="6AA05EF8" w14:textId="6BBA9E9F" w:rsidR="003969C1" w:rsidRPr="007B2C44" w:rsidRDefault="003969C1" w:rsidP="003969C1">
      <w:pPr>
        <w:spacing w:after="240" w:line="276" w:lineRule="auto"/>
        <w:ind w:left="708"/>
        <w:jc w:val="both"/>
        <w:rPr>
          <w:rFonts w:ascii="Verdana" w:hAnsi="Verdana" w:cs="Arial"/>
          <w:b/>
          <w:bCs/>
          <w:i/>
          <w:iCs/>
          <w:sz w:val="22"/>
          <w:szCs w:val="22"/>
          <w:lang w:eastAsia="es-ES"/>
        </w:rPr>
      </w:pPr>
      <w:r w:rsidRPr="007B2C44">
        <w:rPr>
          <w:rFonts w:ascii="Verdana" w:hAnsi="Verdana" w:cs="Arial"/>
          <w:i/>
          <w:iCs/>
          <w:sz w:val="22"/>
          <w:szCs w:val="22"/>
          <w:lang w:eastAsia="es-ES"/>
        </w:rPr>
        <w:t xml:space="preserve">6. </w:t>
      </w:r>
      <w:r w:rsidRPr="007B2C44">
        <w:rPr>
          <w:rFonts w:ascii="Verdana" w:hAnsi="Verdana" w:cs="Arial"/>
          <w:b/>
          <w:bCs/>
          <w:i/>
          <w:iCs/>
          <w:sz w:val="22"/>
          <w:szCs w:val="22"/>
          <w:lang w:eastAsia="es-ES"/>
        </w:rPr>
        <w:t>Apoyar la construcción de estrategias de reducción de emisiones</w:t>
      </w:r>
      <w:r w:rsidRPr="007B2C44">
        <w:rPr>
          <w:rFonts w:ascii="Verdana" w:hAnsi="Verdana" w:cs="Arial"/>
          <w:i/>
          <w:iCs/>
          <w:sz w:val="22"/>
          <w:szCs w:val="22"/>
          <w:lang w:eastAsia="es-ES"/>
        </w:rPr>
        <w:t xml:space="preserve"> por deforestación y degradación de bosques </w:t>
      </w:r>
      <w:r w:rsidRPr="007B2C44">
        <w:rPr>
          <w:rFonts w:ascii="Verdana" w:hAnsi="Verdana" w:cs="Arial"/>
          <w:b/>
          <w:bCs/>
          <w:i/>
          <w:iCs/>
          <w:sz w:val="22"/>
          <w:szCs w:val="22"/>
          <w:lang w:eastAsia="es-ES"/>
        </w:rPr>
        <w:t>y su implementación.</w:t>
      </w:r>
    </w:p>
    <w:p w14:paraId="66E5843A" w14:textId="77777777" w:rsidR="003969C1" w:rsidRPr="007B2C44" w:rsidRDefault="003969C1" w:rsidP="003969C1">
      <w:pPr>
        <w:spacing w:after="240" w:line="276" w:lineRule="auto"/>
        <w:ind w:left="708"/>
        <w:jc w:val="both"/>
        <w:rPr>
          <w:rFonts w:ascii="Verdana" w:hAnsi="Verdana" w:cs="Arial"/>
          <w:i/>
          <w:iCs/>
          <w:sz w:val="22"/>
          <w:szCs w:val="22"/>
          <w:lang w:eastAsia="es-ES"/>
        </w:rPr>
      </w:pPr>
      <w:r w:rsidRPr="007B2C44">
        <w:rPr>
          <w:rFonts w:ascii="Verdana" w:hAnsi="Verdana" w:cs="Arial"/>
          <w:i/>
          <w:iCs/>
          <w:sz w:val="22"/>
          <w:szCs w:val="22"/>
          <w:lang w:eastAsia="es-ES"/>
        </w:rPr>
        <w:t>(…)</w:t>
      </w:r>
    </w:p>
    <w:p w14:paraId="2BF10AD3" w14:textId="580585A9" w:rsidR="003969C1" w:rsidRPr="007B2C44" w:rsidRDefault="003969C1" w:rsidP="003969C1">
      <w:pPr>
        <w:spacing w:after="240" w:line="276" w:lineRule="auto"/>
        <w:ind w:left="708"/>
        <w:jc w:val="both"/>
        <w:rPr>
          <w:rFonts w:ascii="Verdana" w:hAnsi="Verdana" w:cs="Arial"/>
          <w:i/>
          <w:iCs/>
          <w:sz w:val="22"/>
          <w:szCs w:val="22"/>
          <w:lang w:eastAsia="es-ES"/>
        </w:rPr>
      </w:pPr>
      <w:r w:rsidRPr="007B2C44">
        <w:rPr>
          <w:rFonts w:ascii="Verdana" w:hAnsi="Verdana" w:cs="Arial"/>
          <w:i/>
          <w:iCs/>
          <w:sz w:val="22"/>
          <w:szCs w:val="22"/>
          <w:lang w:eastAsia="es-ES"/>
        </w:rPr>
        <w:t>13. Las demás funciones que le sean asignadas y que correspondan a la naturaleza de la dependencia.”</w:t>
      </w:r>
    </w:p>
    <w:p w14:paraId="0F942E3F" w14:textId="274E7AB0" w:rsidR="006656B2" w:rsidRDefault="6574DF7D" w:rsidP="18F40C24">
      <w:pPr>
        <w:spacing w:after="240" w:line="276" w:lineRule="auto"/>
        <w:jc w:val="both"/>
        <w:rPr>
          <w:rFonts w:ascii="Verdana" w:hAnsi="Verdana" w:cs="Arial"/>
          <w:lang w:eastAsia="es-ES"/>
        </w:rPr>
      </w:pPr>
      <w:r w:rsidRPr="18F40C24">
        <w:rPr>
          <w:rFonts w:ascii="Verdana" w:hAnsi="Verdana" w:cs="Arial"/>
          <w:lang w:eastAsia="es-ES"/>
        </w:rPr>
        <w:t>En consecuencia</w:t>
      </w:r>
      <w:r w:rsidR="003969C1" w:rsidRPr="18F40C24">
        <w:rPr>
          <w:rFonts w:ascii="Verdana" w:hAnsi="Verdana" w:cs="Arial"/>
          <w:lang w:eastAsia="es-ES"/>
        </w:rPr>
        <w:t>, d</w:t>
      </w:r>
      <w:r w:rsidR="002D29C1" w:rsidRPr="18F40C24">
        <w:rPr>
          <w:rFonts w:ascii="Verdana" w:hAnsi="Verdana" w:cs="Arial"/>
          <w:lang w:eastAsia="es-ES"/>
        </w:rPr>
        <w:t>ado que el objetivo primigenio del contrato versa sobre la reducción de emisiones de GEI</w:t>
      </w:r>
      <w:r w:rsidR="723800BA" w:rsidRPr="18F40C24">
        <w:rPr>
          <w:rFonts w:ascii="Verdana" w:hAnsi="Verdana" w:cs="Arial"/>
          <w:lang w:eastAsia="es-ES"/>
        </w:rPr>
        <w:t>,</w:t>
      </w:r>
      <w:r w:rsidR="4249D6A8" w:rsidRPr="18F40C24">
        <w:rPr>
          <w:rFonts w:ascii="Verdana" w:hAnsi="Verdana" w:cs="Arial"/>
          <w:lang w:eastAsia="es-ES"/>
        </w:rPr>
        <w:t xml:space="preserve"> </w:t>
      </w:r>
      <w:r w:rsidR="723800BA" w:rsidRPr="18F40C24">
        <w:rPr>
          <w:rFonts w:ascii="Verdana" w:hAnsi="Verdana" w:cs="Arial"/>
          <w:lang w:eastAsia="es-ES"/>
        </w:rPr>
        <w:t>desde el punto de vista</w:t>
      </w:r>
      <w:r w:rsidR="723800BA" w:rsidRPr="18F40C24">
        <w:rPr>
          <w:rFonts w:ascii="Verdana" w:eastAsia="Verdana" w:hAnsi="Verdana" w:cs="Verdana"/>
        </w:rPr>
        <w:t xml:space="preserve"> estrictamente jurídico, no se advierte limitación normativa que impida</w:t>
      </w:r>
      <w:r w:rsidR="316CE826" w:rsidRPr="18F40C24">
        <w:rPr>
          <w:rFonts w:ascii="Verdana" w:eastAsia="Verdana" w:hAnsi="Verdana" w:cs="Verdana"/>
        </w:rPr>
        <w:t xml:space="preserve"> </w:t>
      </w:r>
      <w:r w:rsidR="723800BA" w:rsidRPr="18F40C24">
        <w:rPr>
          <w:rFonts w:ascii="Verdana" w:eastAsia="Verdana" w:hAnsi="Verdana" w:cs="Verdana"/>
        </w:rPr>
        <w:t>al Ministerio de Ambiente y Desarrollo Sostenible suscribir el ERPA bajo el marco expuesto. La competencia funcional se encuentra debidamente sustentada en la Ley 99 de 1993, el Decreto 1682 de 2017 y la cláusula general de competencia prevista en el artículo 6 ibidem, sin perjuicio de las responsabilidades específicas asignadas a las demás dependencias conforme a su ámbito funcional.</w:t>
      </w:r>
      <w:r w:rsidR="003969C1" w:rsidRPr="18F40C24">
        <w:rPr>
          <w:rFonts w:ascii="Verdana" w:hAnsi="Verdana" w:cs="Arial"/>
          <w:lang w:eastAsia="es-ES"/>
        </w:rPr>
        <w:t xml:space="preserve"> </w:t>
      </w:r>
    </w:p>
    <w:p w14:paraId="3DA17A39" w14:textId="76DAA95B" w:rsidR="006656B2" w:rsidRPr="006656B2" w:rsidRDefault="006656B2" w:rsidP="003969C1">
      <w:pPr>
        <w:spacing w:after="240" w:line="276" w:lineRule="auto"/>
        <w:jc w:val="both"/>
        <w:rPr>
          <w:rFonts w:ascii="Verdana" w:hAnsi="Verdana" w:cs="Arial"/>
          <w:b/>
          <w:bCs/>
          <w:u w:val="single"/>
          <w:lang w:eastAsia="es-ES"/>
        </w:rPr>
      </w:pPr>
      <w:r w:rsidRPr="006656B2">
        <w:rPr>
          <w:rFonts w:ascii="Verdana" w:hAnsi="Verdana" w:cs="Arial"/>
          <w:b/>
          <w:bCs/>
          <w:u w:val="single"/>
          <w:lang w:eastAsia="es-ES"/>
        </w:rPr>
        <w:t>Respecto de la capacidad:</w:t>
      </w:r>
    </w:p>
    <w:p w14:paraId="6D0B79B2" w14:textId="297669E6" w:rsidR="00D7508B" w:rsidRDefault="006656B2" w:rsidP="003969C1">
      <w:pPr>
        <w:spacing w:after="240" w:line="276" w:lineRule="auto"/>
        <w:jc w:val="both"/>
        <w:rPr>
          <w:rFonts w:ascii="Verdana" w:hAnsi="Verdana" w:cs="Arial"/>
          <w:lang w:eastAsia="es-ES"/>
        </w:rPr>
      </w:pPr>
      <w:r>
        <w:rPr>
          <w:rFonts w:ascii="Verdana" w:hAnsi="Verdana" w:cs="Arial"/>
          <w:lang w:eastAsia="es-ES"/>
        </w:rPr>
        <w:lastRenderedPageBreak/>
        <w:t>Ahora bien, a nivel particular, el documento de Cláusulas Generales objeto de revisión, consagra múltiples obligaciones y compromisos que han de ser cumplidos por el Ministerio de Ambiente y Desarrollo Sostenible en calidad de Entidad del Programa. Estos compromisos son numeroso</w:t>
      </w:r>
      <w:r w:rsidR="001A3C3B">
        <w:rPr>
          <w:rFonts w:ascii="Verdana" w:hAnsi="Verdana" w:cs="Arial"/>
          <w:lang w:eastAsia="es-ES"/>
        </w:rPr>
        <w:t>s</w:t>
      </w:r>
      <w:r>
        <w:rPr>
          <w:rFonts w:ascii="Verdana" w:hAnsi="Verdana" w:cs="Arial"/>
          <w:lang w:eastAsia="es-ES"/>
        </w:rPr>
        <w:t xml:space="preserve"> y variados, en su mayoría con un contenido altamente técnico que escapa</w:t>
      </w:r>
      <w:r w:rsidR="001A3C3B">
        <w:rPr>
          <w:rFonts w:ascii="Verdana" w:hAnsi="Verdana" w:cs="Arial"/>
          <w:lang w:eastAsia="es-ES"/>
        </w:rPr>
        <w:t>n</w:t>
      </w:r>
      <w:r>
        <w:rPr>
          <w:rFonts w:ascii="Verdana" w:hAnsi="Verdana" w:cs="Arial"/>
          <w:lang w:eastAsia="es-ES"/>
        </w:rPr>
        <w:t xml:space="preserve"> de la órbita jurídica </w:t>
      </w:r>
      <w:r w:rsidR="001A3C3B">
        <w:rPr>
          <w:rFonts w:ascii="Verdana" w:hAnsi="Verdana" w:cs="Arial"/>
          <w:lang w:eastAsia="es-ES"/>
        </w:rPr>
        <w:t xml:space="preserve">y, en consecuencia, </w:t>
      </w:r>
      <w:r>
        <w:rPr>
          <w:rFonts w:ascii="Verdana" w:hAnsi="Verdana" w:cs="Arial"/>
          <w:lang w:eastAsia="es-ES"/>
        </w:rPr>
        <w:t xml:space="preserve">que </w:t>
      </w:r>
      <w:r w:rsidR="001A3C3B">
        <w:rPr>
          <w:rFonts w:ascii="Verdana" w:hAnsi="Verdana" w:cs="Arial"/>
          <w:lang w:eastAsia="es-ES"/>
        </w:rPr>
        <w:t xml:space="preserve">impiden que </w:t>
      </w:r>
      <w:r>
        <w:rPr>
          <w:rFonts w:ascii="Verdana" w:hAnsi="Verdana" w:cs="Arial"/>
          <w:lang w:eastAsia="es-ES"/>
        </w:rPr>
        <w:t xml:space="preserve">la Oficina Asesora Jurídica </w:t>
      </w:r>
      <w:r w:rsidR="001A3C3B">
        <w:rPr>
          <w:rFonts w:ascii="Verdana" w:hAnsi="Verdana" w:cs="Arial"/>
          <w:lang w:eastAsia="es-ES"/>
        </w:rPr>
        <w:t xml:space="preserve">determine </w:t>
      </w:r>
      <w:r>
        <w:rPr>
          <w:rFonts w:ascii="Verdana" w:hAnsi="Verdana" w:cs="Arial"/>
          <w:lang w:eastAsia="es-ES"/>
        </w:rPr>
        <w:t xml:space="preserve">si la Cartera tiene o no la capacidad para cumplir con dichos compromisos. </w:t>
      </w:r>
    </w:p>
    <w:p w14:paraId="519D3822" w14:textId="69EF45EE" w:rsidR="00DF69A5" w:rsidRPr="00DF69A5" w:rsidRDefault="00DF69A5" w:rsidP="00DF69A5">
      <w:pPr>
        <w:spacing w:after="240" w:line="276" w:lineRule="auto"/>
        <w:jc w:val="both"/>
        <w:rPr>
          <w:rFonts w:ascii="Verdana" w:hAnsi="Verdana" w:cs="Arial"/>
          <w:lang w:eastAsia="es-ES"/>
        </w:rPr>
      </w:pPr>
      <w:r>
        <w:rPr>
          <w:rFonts w:ascii="Verdana" w:hAnsi="Verdana" w:cs="Arial"/>
          <w:lang w:eastAsia="es-ES"/>
        </w:rPr>
        <w:t xml:space="preserve">Por consiguiente, frente a la capacidad, </w:t>
      </w:r>
      <w:r w:rsidRPr="00DF69A5">
        <w:rPr>
          <w:rFonts w:ascii="Verdana" w:hAnsi="Verdana" w:cs="Arial"/>
          <w:lang w:eastAsia="es-ES"/>
        </w:rPr>
        <w:t xml:space="preserve">es la Dirección de Cambio Climático y Gestión del Riesgo la llamada a responder por </w:t>
      </w:r>
      <w:r>
        <w:rPr>
          <w:rFonts w:ascii="Verdana" w:hAnsi="Verdana" w:cs="Arial"/>
          <w:lang w:eastAsia="es-ES"/>
        </w:rPr>
        <w:t>cada una de las obligaciones derivadas del documento de Cláusulas Generales objeto de revisión</w:t>
      </w:r>
      <w:r w:rsidRPr="00DF69A5">
        <w:rPr>
          <w:rFonts w:ascii="Verdana" w:hAnsi="Verdana" w:cs="Arial"/>
          <w:lang w:eastAsia="es-ES"/>
        </w:rPr>
        <w:t xml:space="preserve"> y, por lo tanto, dicha dependencia debe revisar y estar de acuerdo para comprometer a la Cartera, de acuerdo con sus capacidades técnicas, administrativas y presupuestales</w:t>
      </w:r>
      <w:r w:rsidR="00B572C8">
        <w:rPr>
          <w:rFonts w:ascii="Verdana" w:hAnsi="Verdana" w:cs="Arial"/>
          <w:lang w:eastAsia="es-ES"/>
        </w:rPr>
        <w:t xml:space="preserve">; razón por la cual, nos reunimos con la Dirección en varias oportunidades (los días 6 y 13 de febrero de 2026) y, posteriormente, les solicitamos la confirmación por escrito de las capacidades técnicas vía memorando No. </w:t>
      </w:r>
      <w:hyperlink r:id="rId9" w:anchor="2" w:history="1">
        <w:r w:rsidR="00B572C8" w:rsidRPr="003F25FD">
          <w:rPr>
            <w:rFonts w:ascii="Verdana" w:hAnsi="Verdana" w:cs="Arial"/>
            <w:lang w:eastAsia="es-ES"/>
          </w:rPr>
          <w:t>13012026E3003336</w:t>
        </w:r>
      </w:hyperlink>
      <w:r w:rsidR="00B572C8">
        <w:rPr>
          <w:rFonts w:ascii="Verdana" w:hAnsi="Verdana" w:cs="Arial"/>
          <w:lang w:eastAsia="es-ES"/>
        </w:rPr>
        <w:t xml:space="preserve"> del día 18 de febrero de 2026. </w:t>
      </w:r>
    </w:p>
    <w:p w14:paraId="033E3F09" w14:textId="62CFA0CB" w:rsidR="00152290" w:rsidRDefault="006656B2" w:rsidP="00D7508B">
      <w:pPr>
        <w:spacing w:after="240" w:line="276" w:lineRule="auto"/>
        <w:jc w:val="both"/>
        <w:rPr>
          <w:rFonts w:ascii="Verdana" w:hAnsi="Verdana" w:cs="Arial"/>
          <w:lang w:eastAsia="es-ES"/>
        </w:rPr>
      </w:pPr>
      <w:r>
        <w:rPr>
          <w:rFonts w:ascii="Verdana" w:hAnsi="Verdana" w:cs="Arial"/>
          <w:lang w:eastAsia="es-ES"/>
        </w:rPr>
        <w:t>Por lo tanto, con el fin de establecer cuáles obligaciones requieren un pronunciamiento técnico adicional</w:t>
      </w:r>
      <w:r w:rsidR="00DF69A5">
        <w:rPr>
          <w:rFonts w:ascii="Verdana" w:hAnsi="Verdana" w:cs="Arial"/>
          <w:lang w:eastAsia="es-ES"/>
        </w:rPr>
        <w:t xml:space="preserve">, por parte de la Dirección de Cambio Climático y Gestión del Riesgo que no sólo participó en las negociaciones, sino que es la dependencia técnica encargada de liderar la implementación del ERPA, </w:t>
      </w:r>
      <w:r w:rsidR="00AD7CE6">
        <w:rPr>
          <w:rFonts w:ascii="Verdana" w:hAnsi="Verdana" w:cs="Arial"/>
          <w:lang w:eastAsia="es-ES"/>
        </w:rPr>
        <w:t xml:space="preserve">se identificaron </w:t>
      </w:r>
      <w:r w:rsidR="004579C0">
        <w:rPr>
          <w:rFonts w:ascii="Verdana" w:hAnsi="Verdana" w:cs="Arial"/>
          <w:lang w:eastAsia="es-ES"/>
        </w:rPr>
        <w:t xml:space="preserve">las siguientes cláusulas con </w:t>
      </w:r>
      <w:r w:rsidR="003A6497">
        <w:rPr>
          <w:rFonts w:ascii="Verdana" w:hAnsi="Verdana" w:cs="Arial"/>
          <w:lang w:eastAsia="es-ES"/>
        </w:rPr>
        <w:t xml:space="preserve">los </w:t>
      </w:r>
      <w:r w:rsidR="004579C0">
        <w:rPr>
          <w:rFonts w:ascii="Verdana" w:hAnsi="Verdana" w:cs="Arial"/>
          <w:lang w:eastAsia="es-ES"/>
        </w:rPr>
        <w:t>compromisos</w:t>
      </w:r>
      <w:r w:rsidR="003A6497">
        <w:rPr>
          <w:rFonts w:ascii="Verdana" w:hAnsi="Verdana" w:cs="Arial"/>
          <w:lang w:eastAsia="es-ES"/>
        </w:rPr>
        <w:t xml:space="preserve"> más im</w:t>
      </w:r>
      <w:r w:rsidR="00DF69A5">
        <w:rPr>
          <w:rFonts w:ascii="Verdana" w:hAnsi="Verdana" w:cs="Arial"/>
          <w:lang w:eastAsia="es-ES"/>
        </w:rPr>
        <w:t>portantes o sustanciales</w:t>
      </w:r>
      <w:r w:rsidR="004579C0">
        <w:rPr>
          <w:rFonts w:ascii="Verdana" w:hAnsi="Verdana" w:cs="Arial"/>
          <w:lang w:eastAsia="es-ES"/>
        </w:rPr>
        <w:t>:</w:t>
      </w:r>
    </w:p>
    <w:tbl>
      <w:tblPr>
        <w:tblStyle w:val="Tablaconcuadrcula"/>
        <w:tblW w:w="9067" w:type="dxa"/>
        <w:tblLook w:val="04A0" w:firstRow="1" w:lastRow="0" w:firstColumn="1" w:lastColumn="0" w:noHBand="0" w:noVBand="1"/>
      </w:tblPr>
      <w:tblGrid>
        <w:gridCol w:w="1838"/>
        <w:gridCol w:w="7229"/>
      </w:tblGrid>
      <w:tr w:rsidR="00DF69A5" w:rsidRPr="00152290" w14:paraId="4A6BBEA6" w14:textId="77777777" w:rsidTr="00DF69A5">
        <w:tc>
          <w:tcPr>
            <w:tcW w:w="1838" w:type="dxa"/>
            <w:shd w:val="clear" w:color="auto" w:fill="FFC000" w:themeFill="accent4"/>
          </w:tcPr>
          <w:p w14:paraId="50FB49C2" w14:textId="007DFD89" w:rsidR="00DF69A5" w:rsidRPr="007B2C44" w:rsidRDefault="00DF69A5" w:rsidP="003969C1">
            <w:pPr>
              <w:spacing w:after="240" w:line="276" w:lineRule="auto"/>
              <w:jc w:val="center"/>
              <w:rPr>
                <w:rFonts w:ascii="Verdana" w:hAnsi="Verdana" w:cs="Arial"/>
                <w:b/>
                <w:bCs/>
                <w:lang w:eastAsia="es-ES"/>
              </w:rPr>
            </w:pPr>
            <w:r w:rsidRPr="007B2C44">
              <w:rPr>
                <w:rFonts w:ascii="Verdana" w:hAnsi="Verdana" w:cs="Arial"/>
                <w:b/>
                <w:bCs/>
                <w:lang w:eastAsia="es-ES"/>
              </w:rPr>
              <w:t>Cláusula</w:t>
            </w:r>
          </w:p>
        </w:tc>
        <w:tc>
          <w:tcPr>
            <w:tcW w:w="7229" w:type="dxa"/>
            <w:shd w:val="clear" w:color="auto" w:fill="FFC000" w:themeFill="accent4"/>
          </w:tcPr>
          <w:p w14:paraId="53497D87" w14:textId="1DA0DDB1" w:rsidR="00DF69A5" w:rsidRPr="007B2C44" w:rsidRDefault="00DF69A5" w:rsidP="003969C1">
            <w:pPr>
              <w:spacing w:after="240" w:line="276" w:lineRule="auto"/>
              <w:jc w:val="center"/>
              <w:rPr>
                <w:rFonts w:ascii="Verdana" w:hAnsi="Verdana" w:cs="Arial"/>
                <w:b/>
                <w:bCs/>
                <w:lang w:eastAsia="es-ES"/>
              </w:rPr>
            </w:pPr>
            <w:r w:rsidRPr="007B2C44">
              <w:rPr>
                <w:rFonts w:ascii="Verdana" w:hAnsi="Verdana" w:cs="Arial"/>
                <w:b/>
                <w:bCs/>
                <w:lang w:eastAsia="es-ES"/>
              </w:rPr>
              <w:t>Compromiso</w:t>
            </w:r>
          </w:p>
        </w:tc>
      </w:tr>
      <w:tr w:rsidR="00DF69A5" w:rsidRPr="00152290" w14:paraId="435C4255" w14:textId="77777777" w:rsidTr="00DF69A5">
        <w:tc>
          <w:tcPr>
            <w:tcW w:w="1838" w:type="dxa"/>
          </w:tcPr>
          <w:p w14:paraId="227DCB3C" w14:textId="67D25CE4" w:rsidR="00DF69A5" w:rsidRPr="007B2C44" w:rsidRDefault="00DF69A5" w:rsidP="003969C1">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t xml:space="preserve">ARTÍCULO III Compraventa de reducciones de emisiones </w:t>
            </w:r>
            <w:r w:rsidRPr="007B2C44">
              <w:rPr>
                <w:rFonts w:ascii="Verdana" w:hAnsi="Verdana" w:cs="Arial"/>
                <w:b/>
                <w:bCs/>
                <w:sz w:val="16"/>
                <w:szCs w:val="16"/>
                <w:lang w:eastAsia="es-ES"/>
              </w:rPr>
              <w:t>Sección 3.01</w:t>
            </w:r>
            <w:r w:rsidRPr="007B2C44">
              <w:rPr>
                <w:rFonts w:ascii="Verdana" w:hAnsi="Verdana" w:cs="Arial"/>
                <w:sz w:val="16"/>
                <w:szCs w:val="16"/>
                <w:lang w:eastAsia="es-ES"/>
              </w:rPr>
              <w:t xml:space="preserve"> Compraventa (a):</w:t>
            </w:r>
          </w:p>
        </w:tc>
        <w:tc>
          <w:tcPr>
            <w:tcW w:w="7229" w:type="dxa"/>
          </w:tcPr>
          <w:p w14:paraId="4EEA89F9" w14:textId="3B516082" w:rsidR="00DF69A5" w:rsidRPr="007B2C44" w:rsidRDefault="00DF69A5" w:rsidP="003969C1">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“La Entidad del Programa se compromete a generar, vender y transferir y el Fiduciario se compromete a comprar y pagar por: (i) los ER del Contrato</w:t>
            </w:r>
            <w:r w:rsidRPr="007B2C44">
              <w:rPr>
                <w:rStyle w:val="Refdenotaalpie"/>
                <w:rFonts w:ascii="Verdana" w:hAnsi="Verdana" w:cs="Arial"/>
                <w:i/>
                <w:iCs/>
                <w:sz w:val="16"/>
                <w:szCs w:val="16"/>
                <w:lang w:eastAsia="es-ES"/>
              </w:rPr>
              <w:footnoteReference w:id="5"/>
            </w:r>
            <w:r w:rsidRPr="007B2C44">
              <w:rPr>
                <w:rFonts w:ascii="Verdana" w:hAnsi="Verdana" w:cs="Arial"/>
                <w:i/>
                <w:iCs/>
                <w:sz w:val="16"/>
                <w:szCs w:val="16"/>
                <w:lang w:eastAsia="es-ES"/>
              </w:rPr>
              <w:t>; y (</w:t>
            </w:r>
            <w:proofErr w:type="spellStart"/>
            <w:r w:rsidRPr="007B2C44">
              <w:rPr>
                <w:rFonts w:ascii="Verdana" w:hAnsi="Verdana" w:cs="Arial"/>
                <w:i/>
                <w:iCs/>
                <w:sz w:val="16"/>
                <w:szCs w:val="16"/>
                <w:lang w:eastAsia="es-ES"/>
              </w:rPr>
              <w:t>ii</w:t>
            </w:r>
            <w:proofErr w:type="spellEnd"/>
            <w:r w:rsidRPr="007B2C44">
              <w:rPr>
                <w:rFonts w:ascii="Verdana" w:hAnsi="Verdana" w:cs="Arial"/>
                <w:i/>
                <w:iCs/>
                <w:sz w:val="16"/>
                <w:szCs w:val="16"/>
                <w:lang w:eastAsia="es-ES"/>
              </w:rPr>
              <w:t>) las ER Adicionales respecto de las cuales el Concesionario ha ejercido su Opción de Compra, de conformidad con los términos del Acuerdo Marco ERPA y los respectivos Acuerdos de Fase ERPA.”</w:t>
            </w:r>
          </w:p>
        </w:tc>
      </w:tr>
      <w:tr w:rsidR="00DF69A5" w:rsidRPr="00152290" w14:paraId="611C5422" w14:textId="77777777" w:rsidTr="00DF69A5">
        <w:tc>
          <w:tcPr>
            <w:tcW w:w="1838" w:type="dxa"/>
          </w:tcPr>
          <w:p w14:paraId="45699284" w14:textId="76E40113" w:rsidR="00DF69A5" w:rsidRPr="007B2C44" w:rsidRDefault="00DF69A5" w:rsidP="003969C1">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lastRenderedPageBreak/>
              <w:t xml:space="preserve">ARTÍCULO III Compraventa de reducciones de emisiones </w:t>
            </w:r>
            <w:r w:rsidRPr="007B2C44">
              <w:rPr>
                <w:rFonts w:ascii="Verdana" w:hAnsi="Verdana" w:cs="Arial"/>
                <w:b/>
                <w:bCs/>
                <w:sz w:val="16"/>
                <w:szCs w:val="16"/>
                <w:lang w:eastAsia="es-ES"/>
              </w:rPr>
              <w:t>Sección 3.02</w:t>
            </w:r>
            <w:r w:rsidRPr="007B2C44">
              <w:rPr>
                <w:rFonts w:ascii="Verdana" w:hAnsi="Verdana" w:cs="Arial"/>
                <w:sz w:val="16"/>
                <w:szCs w:val="16"/>
                <w:lang w:eastAsia="es-ES"/>
              </w:rPr>
              <w:t xml:space="preserve"> Transferencia de ER de Contrato (a):</w:t>
            </w:r>
          </w:p>
        </w:tc>
        <w:tc>
          <w:tcPr>
            <w:tcW w:w="7229" w:type="dxa"/>
          </w:tcPr>
          <w:p w14:paraId="083932C3" w14:textId="77777777" w:rsidR="00DF69A5" w:rsidRPr="007B2C44" w:rsidRDefault="00DF69A5" w:rsidP="003969C1">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 xml:space="preserve">“La Entidad del Programa generará y transferirá, o hará que se transfieran, los montos del Período de Informe Mínimo para el Período de Informe pertinente de cada fase del ERPA sobre una base de antigüedad de conformidad con el Acuerdo Marco del ERPA y los respectivos Acuerdos de Fase del ERPA. </w:t>
            </w:r>
          </w:p>
          <w:p w14:paraId="7E26B169" w14:textId="77777777" w:rsidR="00DF69A5" w:rsidRPr="007B2C44" w:rsidRDefault="00DF69A5" w:rsidP="003969C1">
            <w:pPr>
              <w:spacing w:after="240" w:line="276" w:lineRule="auto"/>
              <w:jc w:val="both"/>
              <w:rPr>
                <w:rFonts w:ascii="Verdana" w:hAnsi="Verdana" w:cs="Arial"/>
                <w:sz w:val="16"/>
                <w:szCs w:val="16"/>
                <w:lang w:eastAsia="es-ES"/>
              </w:rPr>
            </w:pPr>
          </w:p>
        </w:tc>
      </w:tr>
      <w:tr w:rsidR="00DF69A5" w:rsidRPr="00152290" w14:paraId="035AE207" w14:textId="77777777" w:rsidTr="00DF69A5">
        <w:tc>
          <w:tcPr>
            <w:tcW w:w="1838" w:type="dxa"/>
          </w:tcPr>
          <w:p w14:paraId="16D48DA5" w14:textId="04D39D63" w:rsidR="00DF69A5" w:rsidRPr="007B2C44" w:rsidRDefault="00DF69A5" w:rsidP="003969C1">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t xml:space="preserve">ARTÍCULO III Compraventa de reducciones de emisiones </w:t>
            </w:r>
            <w:r w:rsidRPr="007B2C44">
              <w:rPr>
                <w:rFonts w:ascii="Verdana" w:hAnsi="Verdana" w:cs="Arial"/>
                <w:b/>
                <w:bCs/>
                <w:sz w:val="16"/>
                <w:szCs w:val="16"/>
                <w:lang w:eastAsia="es-ES"/>
              </w:rPr>
              <w:t>Sección 3.02</w:t>
            </w:r>
            <w:r w:rsidRPr="007B2C44">
              <w:rPr>
                <w:rFonts w:ascii="Verdana" w:hAnsi="Verdana" w:cs="Arial"/>
                <w:sz w:val="16"/>
                <w:szCs w:val="16"/>
                <w:lang w:eastAsia="es-ES"/>
              </w:rPr>
              <w:t xml:space="preserve"> Transferencia de ER de Contrato (b):</w:t>
            </w:r>
          </w:p>
        </w:tc>
        <w:tc>
          <w:tcPr>
            <w:tcW w:w="7229" w:type="dxa"/>
          </w:tcPr>
          <w:p w14:paraId="734ABEFE" w14:textId="3B4628BB" w:rsidR="00DF69A5" w:rsidRPr="007B2C44" w:rsidRDefault="00DF69A5" w:rsidP="003969C1">
            <w:pPr>
              <w:spacing w:after="240" w:line="276" w:lineRule="auto"/>
              <w:jc w:val="both"/>
              <w:rPr>
                <w:rFonts w:ascii="Verdana" w:hAnsi="Verdana" w:cs="Arial"/>
                <w:sz w:val="16"/>
                <w:szCs w:val="16"/>
                <w:lang w:eastAsia="es-ES"/>
              </w:rPr>
            </w:pPr>
            <w:r w:rsidRPr="007B2C44">
              <w:rPr>
                <w:rFonts w:ascii="Verdana" w:hAnsi="Verdana" w:cs="Arial"/>
                <w:i/>
                <w:iCs/>
                <w:sz w:val="16"/>
                <w:szCs w:val="16"/>
                <w:lang w:eastAsia="es-ES"/>
              </w:rPr>
              <w:t>A menos que se acuerde lo contrario en el Acuerdo Marco ERPA y los respectivos Acuerdos de Fase ERPA, si el Programa ER de ISFL genera más que el Período Mínimo de Informe Monto en un Período de Informe particular de una Fase del ERPA antes de la Fase del ERPA completa Una vez transferido el monto de dicha Fase ERPA, la Entidad del Programa transferirá, como parte de los ER del Contrato de dicho Monto de Fase ERPA, todos los ER excedentes generados por el Programa ER de ISFL en ese Período de Informe.”</w:t>
            </w:r>
          </w:p>
        </w:tc>
      </w:tr>
      <w:tr w:rsidR="00DF69A5" w:rsidRPr="00152290" w14:paraId="01816B5C" w14:textId="77777777" w:rsidTr="00DF69A5">
        <w:tc>
          <w:tcPr>
            <w:tcW w:w="1838" w:type="dxa"/>
          </w:tcPr>
          <w:p w14:paraId="509DD632" w14:textId="755BC84A" w:rsidR="00DF69A5" w:rsidRPr="007B2C44" w:rsidRDefault="00DF69A5" w:rsidP="003969C1">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t xml:space="preserve">ARTÍCULO IV Opción de compra </w:t>
            </w:r>
            <w:r w:rsidRPr="007B2C44">
              <w:rPr>
                <w:rFonts w:ascii="Verdana" w:hAnsi="Verdana" w:cs="Arial"/>
                <w:b/>
                <w:bCs/>
                <w:sz w:val="16"/>
                <w:szCs w:val="16"/>
                <w:lang w:eastAsia="es-ES"/>
              </w:rPr>
              <w:t>Sección 4.03</w:t>
            </w:r>
            <w:r w:rsidRPr="007B2C44">
              <w:rPr>
                <w:rFonts w:ascii="Verdana" w:hAnsi="Verdana" w:cs="Arial"/>
                <w:sz w:val="16"/>
                <w:szCs w:val="16"/>
                <w:lang w:eastAsia="es-ES"/>
              </w:rPr>
              <w:t xml:space="preserve"> Transferencia de ER Adicionales:</w:t>
            </w:r>
          </w:p>
        </w:tc>
        <w:tc>
          <w:tcPr>
            <w:tcW w:w="7229" w:type="dxa"/>
          </w:tcPr>
          <w:p w14:paraId="522F2A15" w14:textId="1CC1B489" w:rsidR="00DF69A5" w:rsidRPr="007B2C44" w:rsidRDefault="00DF69A5" w:rsidP="003969C1">
            <w:pPr>
              <w:spacing w:after="240" w:line="276" w:lineRule="auto"/>
              <w:jc w:val="both"/>
              <w:rPr>
                <w:rFonts w:ascii="Verdana" w:hAnsi="Verdana" w:cs="Arial"/>
                <w:sz w:val="16"/>
                <w:szCs w:val="16"/>
                <w:lang w:eastAsia="es-ES"/>
              </w:rPr>
            </w:pPr>
            <w:r w:rsidRPr="007B2C44">
              <w:rPr>
                <w:rFonts w:ascii="Verdana" w:hAnsi="Verdana" w:cs="Arial"/>
                <w:i/>
                <w:iCs/>
                <w:sz w:val="16"/>
                <w:szCs w:val="16"/>
                <w:lang w:eastAsia="es-ES"/>
              </w:rPr>
              <w:t>“Luego de recibir cada Aviso de Ejercicio, la Entidad del Programa transferirá, o hará que se transfieran, aquellos ER Adicionales nominados en el Aviso de Ejercicio a las Cuentas de Registro de las personas nombradas en el Aviso de Ejercicio antes de la Fecha de Finalización del Ejercicio de conformidad con la Sección 5.02, el Acuerdo Marco ERPA y los respectivos Acuerdos de Fase ERPA.”</w:t>
            </w:r>
          </w:p>
        </w:tc>
      </w:tr>
      <w:tr w:rsidR="00DF69A5" w:rsidRPr="00152290" w14:paraId="0D8F4428" w14:textId="77777777" w:rsidTr="00DF69A5">
        <w:tc>
          <w:tcPr>
            <w:tcW w:w="1838" w:type="dxa"/>
          </w:tcPr>
          <w:p w14:paraId="5D006809" w14:textId="4904D321"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t xml:space="preserve">ARTÍCULO V Transferencia y Pago </w:t>
            </w:r>
            <w:r w:rsidRPr="007B2C44">
              <w:rPr>
                <w:rFonts w:ascii="Verdana" w:hAnsi="Verdana" w:cs="Arial"/>
                <w:b/>
                <w:bCs/>
                <w:sz w:val="16"/>
                <w:szCs w:val="16"/>
                <w:lang w:eastAsia="es-ES"/>
              </w:rPr>
              <w:t>Sección 5.01</w:t>
            </w:r>
            <w:r w:rsidRPr="007B2C44">
              <w:rPr>
                <w:rFonts w:ascii="Verdana" w:hAnsi="Verdana" w:cs="Arial"/>
                <w:sz w:val="16"/>
                <w:szCs w:val="16"/>
                <w:lang w:eastAsia="es-ES"/>
              </w:rPr>
              <w:t xml:space="preserve"> Informe de seguimiento de ER e informes de verificación (a):</w:t>
            </w:r>
          </w:p>
        </w:tc>
        <w:tc>
          <w:tcPr>
            <w:tcW w:w="7229" w:type="dxa"/>
          </w:tcPr>
          <w:p w14:paraId="73A40346" w14:textId="53A2941E"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i/>
                <w:iCs/>
                <w:sz w:val="16"/>
                <w:szCs w:val="16"/>
                <w:lang w:eastAsia="es-ES"/>
              </w:rPr>
              <w:t>“A menos que se disponga lo contrario en el Acuerdo Marco ERPA, dentro de los ciento ochenta (180) días calendario siguientes al final de cada Período de Informe, la Entidad del Programa deberá proporcionar al Fideicomisario un Informe de Seguimiento de ER para ese Período de Informe, en forma y contenido satisfactorios para el Fideicomisario.”</w:t>
            </w:r>
          </w:p>
        </w:tc>
      </w:tr>
      <w:tr w:rsidR="00DF69A5" w:rsidRPr="00152290" w14:paraId="28A96BB5" w14:textId="77777777" w:rsidTr="00DF69A5">
        <w:tc>
          <w:tcPr>
            <w:tcW w:w="1838" w:type="dxa"/>
          </w:tcPr>
          <w:p w14:paraId="4C367298" w14:textId="0F2931BA"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t xml:space="preserve">ARTÍCULO V Transferencia y Pago </w:t>
            </w:r>
            <w:r w:rsidRPr="007B2C44">
              <w:rPr>
                <w:rFonts w:ascii="Verdana" w:hAnsi="Verdana" w:cs="Arial"/>
                <w:b/>
                <w:bCs/>
                <w:sz w:val="16"/>
                <w:szCs w:val="16"/>
                <w:lang w:eastAsia="es-ES"/>
              </w:rPr>
              <w:t>Sección 5.01</w:t>
            </w:r>
            <w:r w:rsidRPr="007B2C44">
              <w:rPr>
                <w:rFonts w:ascii="Verdana" w:hAnsi="Verdana" w:cs="Arial"/>
                <w:sz w:val="16"/>
                <w:szCs w:val="16"/>
                <w:lang w:eastAsia="es-ES"/>
              </w:rPr>
              <w:t xml:space="preserve"> Informe de seguimiento de ER e Informes de Verificación (b):</w:t>
            </w:r>
          </w:p>
        </w:tc>
        <w:tc>
          <w:tcPr>
            <w:tcW w:w="7229" w:type="dxa"/>
          </w:tcPr>
          <w:p w14:paraId="5FD716AC" w14:textId="7A9B441E"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“Como anexo separado del Informe de Seguimiento de ER, la Entidad del Programa deberá proporcionar: (i) evidencia satisfactoria para el Fideicomisario de que las Medidas del Programa ISFL ER se están implementando de conformidad con los Planes de Salvaguardia y que el Plan de Distribución de Beneficios se ha implementado de acuerdo con sus términos (incluido cualquier mecanismo de retroalimentación y reparación de quejas establecido en cualquiera de dichos documentos); e (</w:t>
            </w:r>
            <w:proofErr w:type="spellStart"/>
            <w:r w:rsidRPr="007B2C44">
              <w:rPr>
                <w:rFonts w:ascii="Verdana" w:hAnsi="Verdana" w:cs="Arial"/>
                <w:i/>
                <w:iCs/>
                <w:sz w:val="16"/>
                <w:szCs w:val="16"/>
                <w:lang w:eastAsia="es-ES"/>
              </w:rPr>
              <w:t>ii</w:t>
            </w:r>
            <w:proofErr w:type="spellEnd"/>
            <w:r w:rsidRPr="007B2C44">
              <w:rPr>
                <w:rFonts w:ascii="Verdana" w:hAnsi="Verdana" w:cs="Arial"/>
                <w:i/>
                <w:iCs/>
                <w:sz w:val="16"/>
                <w:szCs w:val="16"/>
                <w:lang w:eastAsia="es-ES"/>
              </w:rPr>
              <w:t>) información sobre la generación y/o mejora de Beneficios No Relacionados con el Carbono (en la medida en que aún no estén previstos en ningún Plan de Salvaguardias pertinente, si corresponde) en el marco del Programa ER de la ISFL.”</w:t>
            </w:r>
          </w:p>
        </w:tc>
      </w:tr>
      <w:tr w:rsidR="00DF69A5" w:rsidRPr="00152290" w14:paraId="792AA4A6" w14:textId="77777777" w:rsidTr="00DF69A5">
        <w:tc>
          <w:tcPr>
            <w:tcW w:w="1838" w:type="dxa"/>
          </w:tcPr>
          <w:p w14:paraId="0695BA53" w14:textId="75F31203"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t xml:space="preserve">ARTÍCULO V Transferencia y Pago </w:t>
            </w:r>
            <w:r w:rsidRPr="007B2C44">
              <w:rPr>
                <w:rFonts w:ascii="Verdana" w:hAnsi="Verdana" w:cs="Arial"/>
                <w:b/>
                <w:bCs/>
                <w:sz w:val="16"/>
                <w:szCs w:val="16"/>
                <w:lang w:eastAsia="es-ES"/>
              </w:rPr>
              <w:t>Sección 5.01</w:t>
            </w:r>
            <w:r w:rsidRPr="007B2C44">
              <w:rPr>
                <w:rFonts w:ascii="Verdana" w:hAnsi="Verdana" w:cs="Arial"/>
                <w:sz w:val="16"/>
                <w:szCs w:val="16"/>
                <w:lang w:eastAsia="es-ES"/>
              </w:rPr>
              <w:t xml:space="preserve"> Informe de seguimiento de ER e Informes de Verificación (d):</w:t>
            </w:r>
          </w:p>
        </w:tc>
        <w:tc>
          <w:tcPr>
            <w:tcW w:w="7229" w:type="dxa"/>
          </w:tcPr>
          <w:p w14:paraId="3919C524" w14:textId="7798A499"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i/>
                <w:iCs/>
                <w:sz w:val="16"/>
                <w:szCs w:val="16"/>
                <w:lang w:eastAsia="es-ES"/>
              </w:rPr>
              <w:t xml:space="preserve">“Además de la Sección 5.01(b)(i), la Entidad del Programa supervisará e informará al Fideicomisario sobre la implementación de los Planes de Salvaguardias y el Plan de Distribución de Beneficios durante los Periodos de Informe de cada Fase del ERPA. La Entidad del Programa supervisará e informará al Fideicomisario sobre la implementación de los Planes de Salvaguardias anualmente después de la fecha del Acuerdo Marco del ERPA y durante todo el Plazo. La Entidad del Programa supervisará e informará al Fideicomisario sobre la implementación del Plan de Distribución de Beneficios seis (6) meses después de recibir el primer Pago Periódico y anualmente a partir de entonces. La Entidad del Programa podrá coordinar el seguimiento y la presentación de informes anuales de los Planes de Salvaguardias y el Plan de Distribución de Beneficios, siempre que notifique al Fideicomisario y este acepte dichos plazos coordinados. El Fideicomisario se reserva el derecho de iniciar un seguimiento independiente de la implementación de los Planes de Salvaguardias o del Plan de Distribución de Beneficios </w:t>
            </w:r>
            <w:r w:rsidRPr="007B2C44">
              <w:rPr>
                <w:rFonts w:ascii="Verdana" w:hAnsi="Verdana" w:cs="Arial"/>
                <w:i/>
                <w:iCs/>
                <w:sz w:val="16"/>
                <w:szCs w:val="16"/>
                <w:lang w:eastAsia="es-ES"/>
              </w:rPr>
              <w:lastRenderedPageBreak/>
              <w:t>anualmente después de la fecha del Acuerdo Marco del ERPA por parte de un monitor externo independiente. Las secciones 9.01(g) y (k), así como la sección 9.05(d), se aplicarán mutatis mutandis a dicho monitor de terceros.”</w:t>
            </w:r>
          </w:p>
        </w:tc>
      </w:tr>
      <w:tr w:rsidR="00DF69A5" w:rsidRPr="00152290" w14:paraId="13D7B1D8" w14:textId="77777777" w:rsidTr="00DF69A5">
        <w:tc>
          <w:tcPr>
            <w:tcW w:w="1838" w:type="dxa"/>
          </w:tcPr>
          <w:p w14:paraId="74FE26DA" w14:textId="77D40604"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lastRenderedPageBreak/>
              <w:t xml:space="preserve">ARTÍCULO V Transferencia y Pago </w:t>
            </w:r>
            <w:r w:rsidRPr="007B2C44">
              <w:rPr>
                <w:rFonts w:ascii="Verdana" w:hAnsi="Verdana" w:cs="Arial"/>
                <w:b/>
                <w:bCs/>
                <w:sz w:val="16"/>
                <w:szCs w:val="16"/>
                <w:lang w:eastAsia="es-ES"/>
              </w:rPr>
              <w:t>Sección 5.02</w:t>
            </w:r>
            <w:r w:rsidRPr="007B2C44">
              <w:rPr>
                <w:rFonts w:ascii="Verdana" w:hAnsi="Verdana" w:cs="Arial"/>
                <w:sz w:val="16"/>
                <w:szCs w:val="16"/>
                <w:lang w:eastAsia="es-ES"/>
              </w:rPr>
              <w:t xml:space="preserve"> Transferencia de </w:t>
            </w:r>
            <w:proofErr w:type="spellStart"/>
            <w:r w:rsidRPr="007B2C44">
              <w:rPr>
                <w:rFonts w:ascii="Verdana" w:hAnsi="Verdana" w:cs="Arial"/>
                <w:sz w:val="16"/>
                <w:szCs w:val="16"/>
                <w:lang w:eastAsia="es-ES"/>
              </w:rPr>
              <w:t>ERs</w:t>
            </w:r>
            <w:proofErr w:type="spellEnd"/>
            <w:r w:rsidRPr="007B2C44">
              <w:rPr>
                <w:rFonts w:ascii="Verdana" w:hAnsi="Verdana" w:cs="Arial"/>
                <w:sz w:val="16"/>
                <w:szCs w:val="16"/>
                <w:lang w:eastAsia="es-ES"/>
              </w:rPr>
              <w:t xml:space="preserve"> (f):</w:t>
            </w:r>
          </w:p>
        </w:tc>
        <w:tc>
          <w:tcPr>
            <w:tcW w:w="7229" w:type="dxa"/>
          </w:tcPr>
          <w:p w14:paraId="5525664A" w14:textId="2AE99986"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i/>
                <w:iCs/>
                <w:sz w:val="16"/>
                <w:szCs w:val="16"/>
                <w:lang w:eastAsia="es-ES"/>
              </w:rPr>
              <w:t xml:space="preserve">“Las </w:t>
            </w:r>
            <w:proofErr w:type="spellStart"/>
            <w:r w:rsidRPr="007B2C44">
              <w:rPr>
                <w:rFonts w:ascii="Verdana" w:hAnsi="Verdana" w:cs="Arial"/>
                <w:i/>
                <w:iCs/>
                <w:sz w:val="16"/>
                <w:szCs w:val="16"/>
                <w:lang w:eastAsia="es-ES"/>
              </w:rPr>
              <w:t>ERs</w:t>
            </w:r>
            <w:proofErr w:type="spellEnd"/>
            <w:r w:rsidRPr="007B2C44">
              <w:rPr>
                <w:rFonts w:ascii="Verdana" w:hAnsi="Verdana" w:cs="Arial"/>
                <w:i/>
                <w:iCs/>
                <w:sz w:val="16"/>
                <w:szCs w:val="16"/>
                <w:lang w:eastAsia="es-ES"/>
              </w:rPr>
              <w:t xml:space="preserve"> del Contrato y las </w:t>
            </w:r>
            <w:proofErr w:type="spellStart"/>
            <w:r w:rsidRPr="007B2C44">
              <w:rPr>
                <w:rFonts w:ascii="Verdana" w:hAnsi="Verdana" w:cs="Arial"/>
                <w:i/>
                <w:iCs/>
                <w:sz w:val="16"/>
                <w:szCs w:val="16"/>
                <w:lang w:eastAsia="es-ES"/>
              </w:rPr>
              <w:t>ERs</w:t>
            </w:r>
            <w:proofErr w:type="spellEnd"/>
            <w:r w:rsidRPr="007B2C44">
              <w:rPr>
                <w:rFonts w:ascii="Verdana" w:hAnsi="Verdana" w:cs="Arial"/>
                <w:i/>
                <w:iCs/>
                <w:sz w:val="16"/>
                <w:szCs w:val="16"/>
                <w:lang w:eastAsia="es-ES"/>
              </w:rPr>
              <w:t xml:space="preserve"> Adicionales, así como cualquier tonelada de CO2 reducida subyacente, solo podrán utilizarse o reclamarse una vez. La Entidad del Programa no utilizará las RE Contractuales ni las RE Adicionales transferidas al Fideicomisario, ni ninguna tonelada de </w:t>
            </w:r>
            <w:proofErr w:type="spellStart"/>
            <w:r w:rsidRPr="007B2C44">
              <w:rPr>
                <w:rFonts w:ascii="Verdana" w:hAnsi="Verdana" w:cs="Arial"/>
                <w:i/>
                <w:iCs/>
                <w:sz w:val="16"/>
                <w:szCs w:val="16"/>
                <w:lang w:eastAsia="es-ES"/>
              </w:rPr>
              <w:t>COe</w:t>
            </w:r>
            <w:proofErr w:type="spellEnd"/>
            <w:r w:rsidRPr="007B2C44">
              <w:rPr>
                <w:rFonts w:ascii="Verdana" w:hAnsi="Verdana" w:cs="Arial"/>
                <w:i/>
                <w:iCs/>
                <w:sz w:val="16"/>
                <w:szCs w:val="16"/>
                <w:lang w:eastAsia="es-ES"/>
              </w:rPr>
              <w:t xml:space="preserve"> reducida subyacente, para la venta o relaciones públicas (siempre que dicho uso implique o sugiera la titularidad continua de la Entidad del Programa o el derecho a reclamarlas), a menos que dichas RE Contractuales o RE Adicionales se retransfieran a la Entidad del Programa de conformidad con el Acuerdo Marco del ERPA y los respectivos Acuerdos de Fase del ERPA, en cuyo caso la Entidad del Programa utilizará dichas RE retransferidas únicamente para los fines expresamente previstos en ellos.”</w:t>
            </w:r>
          </w:p>
        </w:tc>
      </w:tr>
      <w:tr w:rsidR="00DF69A5" w:rsidRPr="00152290" w14:paraId="46E2F68C" w14:textId="77777777" w:rsidTr="00DF69A5">
        <w:tc>
          <w:tcPr>
            <w:tcW w:w="1838" w:type="dxa"/>
          </w:tcPr>
          <w:p w14:paraId="2F715BD2" w14:textId="6F725B42"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t xml:space="preserve">ARTÍCULO V Transferencia y Pago </w:t>
            </w:r>
            <w:r w:rsidRPr="007B2C44">
              <w:rPr>
                <w:rFonts w:ascii="Verdana" w:hAnsi="Verdana" w:cs="Arial"/>
                <w:b/>
                <w:bCs/>
                <w:sz w:val="16"/>
                <w:szCs w:val="16"/>
                <w:lang w:eastAsia="es-ES"/>
              </w:rPr>
              <w:t>Sección 5.02</w:t>
            </w:r>
            <w:r w:rsidRPr="007B2C44">
              <w:rPr>
                <w:rFonts w:ascii="Verdana" w:hAnsi="Verdana" w:cs="Arial"/>
                <w:sz w:val="16"/>
                <w:szCs w:val="16"/>
                <w:lang w:eastAsia="es-ES"/>
              </w:rPr>
              <w:t xml:space="preserve"> Transferencia de </w:t>
            </w:r>
            <w:proofErr w:type="spellStart"/>
            <w:r w:rsidRPr="007B2C44">
              <w:rPr>
                <w:rFonts w:ascii="Verdana" w:hAnsi="Verdana" w:cs="Arial"/>
                <w:sz w:val="16"/>
                <w:szCs w:val="16"/>
                <w:lang w:eastAsia="es-ES"/>
              </w:rPr>
              <w:t>ERs</w:t>
            </w:r>
            <w:proofErr w:type="spellEnd"/>
            <w:r w:rsidRPr="007B2C44">
              <w:rPr>
                <w:rFonts w:ascii="Verdana" w:hAnsi="Verdana" w:cs="Arial"/>
                <w:sz w:val="16"/>
                <w:szCs w:val="16"/>
                <w:lang w:eastAsia="es-ES"/>
              </w:rPr>
              <w:t xml:space="preserve"> (g):</w:t>
            </w:r>
          </w:p>
        </w:tc>
        <w:tc>
          <w:tcPr>
            <w:tcW w:w="7229" w:type="dxa"/>
          </w:tcPr>
          <w:p w14:paraId="2ADC5D63" w14:textId="35BFE916"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i/>
                <w:iCs/>
                <w:sz w:val="16"/>
                <w:szCs w:val="16"/>
                <w:lang w:eastAsia="es-ES"/>
              </w:rPr>
              <w:t xml:space="preserve">“En el caso de que los ER del Contrato y/o los ER Adicionales transferidos al Fideicomisario puedan convertirse en cualquier otra forma de derecho, crédito, compensación o unidad similar creada bajo cualquier sistema o esquema voluntario o regulatorio o mercado de carbono de cumplimiento existente o futuro y el Fideicomisario elija efectuar dicha conversión en nombre de uno o más </w:t>
            </w:r>
            <w:proofErr w:type="spellStart"/>
            <w:r w:rsidRPr="007B2C44">
              <w:rPr>
                <w:rFonts w:ascii="Verdana" w:hAnsi="Verdana" w:cs="Arial"/>
                <w:i/>
                <w:iCs/>
                <w:sz w:val="16"/>
                <w:szCs w:val="16"/>
                <w:lang w:eastAsia="es-ES"/>
              </w:rPr>
              <w:t>BioCF</w:t>
            </w:r>
            <w:proofErr w:type="spellEnd"/>
            <w:r w:rsidRPr="007B2C44">
              <w:rPr>
                <w:rFonts w:ascii="Verdana" w:hAnsi="Verdana" w:cs="Arial"/>
                <w:i/>
                <w:iCs/>
                <w:sz w:val="16"/>
                <w:szCs w:val="16"/>
                <w:lang w:eastAsia="es-ES"/>
              </w:rPr>
              <w:t xml:space="preserve"> T3 Participante(s), la Entidad del Programa cooperará con el Fideicomisario, cualquier Participante de </w:t>
            </w:r>
            <w:proofErr w:type="spellStart"/>
            <w:r w:rsidRPr="007B2C44">
              <w:rPr>
                <w:rFonts w:ascii="Verdana" w:hAnsi="Verdana" w:cs="Arial"/>
                <w:i/>
                <w:iCs/>
                <w:sz w:val="16"/>
                <w:szCs w:val="16"/>
                <w:lang w:eastAsia="es-ES"/>
              </w:rPr>
              <w:t>BioCF</w:t>
            </w:r>
            <w:proofErr w:type="spellEnd"/>
            <w:r w:rsidRPr="007B2C44">
              <w:rPr>
                <w:rFonts w:ascii="Verdana" w:hAnsi="Verdana" w:cs="Arial"/>
                <w:i/>
                <w:iCs/>
                <w:sz w:val="16"/>
                <w:szCs w:val="16"/>
                <w:lang w:eastAsia="es-ES"/>
              </w:rPr>
              <w:t xml:space="preserve"> T3 (b) y otras autoridades y entidades pertinentes para ayudar al Fideicomisario o al Participante del Programa </w:t>
            </w:r>
            <w:proofErr w:type="spellStart"/>
            <w:r w:rsidRPr="007B2C44">
              <w:rPr>
                <w:rFonts w:ascii="Verdana" w:hAnsi="Verdana" w:cs="Arial"/>
                <w:i/>
                <w:iCs/>
                <w:sz w:val="16"/>
                <w:szCs w:val="16"/>
                <w:lang w:eastAsia="es-ES"/>
              </w:rPr>
              <w:t>BioCF</w:t>
            </w:r>
            <w:proofErr w:type="spellEnd"/>
            <w:r w:rsidRPr="007B2C44">
              <w:rPr>
                <w:rFonts w:ascii="Verdana" w:hAnsi="Verdana" w:cs="Arial"/>
                <w:i/>
                <w:iCs/>
                <w:sz w:val="16"/>
                <w:szCs w:val="16"/>
                <w:lang w:eastAsia="es-ES"/>
              </w:rPr>
              <w:t xml:space="preserve"> T3 a convertir dichas ER transferidas en otros créditos de ER que puedan ser utilizados por los Participantes del Programa </w:t>
            </w:r>
            <w:proofErr w:type="spellStart"/>
            <w:r w:rsidRPr="007B2C44">
              <w:rPr>
                <w:rFonts w:ascii="Verdana" w:hAnsi="Verdana" w:cs="Arial"/>
                <w:i/>
                <w:iCs/>
                <w:sz w:val="16"/>
                <w:szCs w:val="16"/>
                <w:lang w:eastAsia="es-ES"/>
              </w:rPr>
              <w:t>BioCF</w:t>
            </w:r>
            <w:proofErr w:type="spellEnd"/>
            <w:r w:rsidRPr="007B2C44">
              <w:rPr>
                <w:rFonts w:ascii="Verdana" w:hAnsi="Verdana" w:cs="Arial"/>
                <w:i/>
                <w:iCs/>
                <w:sz w:val="16"/>
                <w:szCs w:val="16"/>
                <w:lang w:eastAsia="es-ES"/>
              </w:rPr>
              <w:t xml:space="preserve"> T3. Si el proceso de conversión requiere cambios en cualquier Documento del Programa, el Acuerdo Marco del ERPA o cualquier Acuerdo de Fase del ERPA, las Partes colaborarán de buena fe para modificar los documentos pertinentes según corresponda, siempre que dichos cambios no afecten negativamente los derechos de la Entidad del Programa en virtud del Acuerdo Marco del ERPA o cualquier Acuerdo de Fase del ERPA.”</w:t>
            </w:r>
          </w:p>
        </w:tc>
      </w:tr>
      <w:tr w:rsidR="00DF69A5" w:rsidRPr="00152290" w14:paraId="74FD0905" w14:textId="77777777" w:rsidTr="00DF69A5">
        <w:tc>
          <w:tcPr>
            <w:tcW w:w="1838" w:type="dxa"/>
          </w:tcPr>
          <w:p w14:paraId="0C193B8B" w14:textId="237D4398"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t xml:space="preserve">ARTÍCULO V Transferencia y Pago </w:t>
            </w:r>
            <w:r w:rsidRPr="007B2C44">
              <w:rPr>
                <w:rFonts w:ascii="Verdana" w:hAnsi="Verdana" w:cs="Arial"/>
                <w:b/>
                <w:bCs/>
                <w:sz w:val="16"/>
                <w:szCs w:val="16"/>
                <w:lang w:eastAsia="es-ES"/>
              </w:rPr>
              <w:t>Sección 5.04</w:t>
            </w:r>
            <w:r w:rsidRPr="007B2C44">
              <w:rPr>
                <w:rFonts w:ascii="Verdana" w:hAnsi="Verdana" w:cs="Arial"/>
                <w:sz w:val="16"/>
                <w:szCs w:val="16"/>
                <w:lang w:eastAsia="es-ES"/>
              </w:rPr>
              <w:t xml:space="preserve"> Costos e Impuestos (a):</w:t>
            </w:r>
          </w:p>
        </w:tc>
        <w:tc>
          <w:tcPr>
            <w:tcW w:w="7229" w:type="dxa"/>
          </w:tcPr>
          <w:p w14:paraId="3F0DFF70" w14:textId="2A0129C1"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i/>
                <w:iCs/>
                <w:sz w:val="16"/>
                <w:szCs w:val="16"/>
                <w:lang w:eastAsia="es-ES"/>
              </w:rPr>
              <w:t>“La Entidad del Programa asumirá cualquier tarifa, cargo, costo u otros gastos cobrados por el Registro (si los hubiere) o cualquier otra autoridad o entidad pertinente en relación con el Registro, emisión y reenvío de ER de Contrato o ER Adicionales o la Transferencia de ER.”</w:t>
            </w:r>
          </w:p>
        </w:tc>
      </w:tr>
      <w:tr w:rsidR="00DF69A5" w:rsidRPr="00152290" w14:paraId="277248E3" w14:textId="77777777" w:rsidTr="00DF69A5">
        <w:tc>
          <w:tcPr>
            <w:tcW w:w="1838" w:type="dxa"/>
          </w:tcPr>
          <w:p w14:paraId="2AA6B1E8" w14:textId="64BC38DA"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t xml:space="preserve">ARTÍCULO V Transferencia y Pago </w:t>
            </w:r>
            <w:r w:rsidRPr="007B2C44">
              <w:rPr>
                <w:rFonts w:ascii="Verdana" w:hAnsi="Verdana" w:cs="Arial"/>
                <w:b/>
                <w:bCs/>
                <w:sz w:val="16"/>
                <w:szCs w:val="16"/>
                <w:lang w:eastAsia="es-ES"/>
              </w:rPr>
              <w:t>Sección 5.04</w:t>
            </w:r>
            <w:r w:rsidRPr="007B2C44">
              <w:rPr>
                <w:rFonts w:ascii="Verdana" w:hAnsi="Verdana" w:cs="Arial"/>
                <w:sz w:val="16"/>
                <w:szCs w:val="16"/>
                <w:lang w:eastAsia="es-ES"/>
              </w:rPr>
              <w:t xml:space="preserve"> Costos e Impuestos (a):</w:t>
            </w:r>
          </w:p>
        </w:tc>
        <w:tc>
          <w:tcPr>
            <w:tcW w:w="7229" w:type="dxa"/>
          </w:tcPr>
          <w:p w14:paraId="5803EB58" w14:textId="0EBC1CF7"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i/>
                <w:iCs/>
                <w:sz w:val="16"/>
                <w:szCs w:val="16"/>
                <w:lang w:eastAsia="es-ES"/>
              </w:rPr>
              <w:t>“(b) Cualquier impuesto que pueda ser pagadero con respecto a la operación del Programa ER de ISFL, la venta de ER bajo el Acuerdo Marco ERPA, un Acuerdo de Fase ERPA o la transferencia de los ER Contractuales o los ER Adicionales, impuestos por el País Anfitrión serán soportados por la Entidad del Programa y, si dichos Impuestos son pagaderos en primera instancia por el Fideicomisario, el Fideicomisario deducirá dichos Impuestos de los Pagos Periódicos que deba realizar a la Entidad del Programa. El Fideicomisario no deducirá ningún otro Impuesto de los Pagos Periódicos que deba realizar a la Entidad del Programa.”</w:t>
            </w:r>
          </w:p>
        </w:tc>
      </w:tr>
      <w:tr w:rsidR="00DF69A5" w:rsidRPr="00152290" w14:paraId="3F976ED0" w14:textId="77777777" w:rsidTr="00DF69A5">
        <w:tc>
          <w:tcPr>
            <w:tcW w:w="1838" w:type="dxa"/>
          </w:tcPr>
          <w:p w14:paraId="3C0F3812" w14:textId="77777777"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sz w:val="16"/>
                <w:szCs w:val="16"/>
                <w:lang w:eastAsia="es-ES"/>
              </w:rPr>
              <w:t xml:space="preserve">ARTÍCULO VI Desarrollo del Programa ISFL ER </w:t>
            </w:r>
            <w:r w:rsidRPr="007B2C44">
              <w:rPr>
                <w:rFonts w:ascii="Verdana" w:hAnsi="Verdana" w:cs="Arial"/>
                <w:b/>
                <w:bCs/>
                <w:sz w:val="16"/>
                <w:szCs w:val="16"/>
                <w:lang w:eastAsia="es-ES"/>
              </w:rPr>
              <w:t>Sección 6.01</w:t>
            </w:r>
            <w:r w:rsidRPr="007B2C44">
              <w:rPr>
                <w:rFonts w:ascii="Verdana" w:hAnsi="Verdana" w:cs="Arial"/>
                <w:sz w:val="16"/>
                <w:szCs w:val="16"/>
                <w:lang w:eastAsia="es-ES"/>
              </w:rPr>
              <w:t xml:space="preserve"> Desarrollo del Programa ISFL ER (a): </w:t>
            </w:r>
          </w:p>
          <w:p w14:paraId="6662FBD0" w14:textId="77777777" w:rsidR="00DF69A5" w:rsidRPr="007B2C44" w:rsidRDefault="00DF69A5" w:rsidP="00AB67A3">
            <w:pPr>
              <w:spacing w:after="240" w:line="276" w:lineRule="auto"/>
              <w:jc w:val="both"/>
              <w:rPr>
                <w:rFonts w:ascii="Verdana" w:hAnsi="Verdana" w:cs="Arial"/>
                <w:sz w:val="16"/>
                <w:szCs w:val="16"/>
                <w:lang w:eastAsia="es-ES"/>
              </w:rPr>
            </w:pPr>
          </w:p>
        </w:tc>
        <w:tc>
          <w:tcPr>
            <w:tcW w:w="7229" w:type="dxa"/>
          </w:tcPr>
          <w:p w14:paraId="7E63421C" w14:textId="2C733A5C"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lastRenderedPageBreak/>
              <w:t>“La Entidad del Programa deberá notificar al Fideicomisario sobre cualquier demora o problema material en el desarrollo, operación e implementación del Programa ISFL ER y/o la Fecha de Inicio del Programa ISFL ER a más tardar treinta (30) días calendario después de que ocurra el mismo.”</w:t>
            </w:r>
          </w:p>
        </w:tc>
      </w:tr>
      <w:tr w:rsidR="00DF69A5" w:rsidRPr="00152290" w14:paraId="6E1009F0" w14:textId="77777777" w:rsidTr="00DF69A5">
        <w:tc>
          <w:tcPr>
            <w:tcW w:w="1838" w:type="dxa"/>
          </w:tcPr>
          <w:p w14:paraId="2F82EE97" w14:textId="6D6734FC"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sz w:val="16"/>
                <w:szCs w:val="16"/>
                <w:lang w:eastAsia="es-ES"/>
              </w:rPr>
              <w:t xml:space="preserve">ARTÍCULO VI Desarrollo del Programa ISFL ER </w:t>
            </w:r>
            <w:r w:rsidRPr="007B2C44">
              <w:rPr>
                <w:rFonts w:ascii="Verdana" w:hAnsi="Verdana" w:cs="Arial"/>
                <w:b/>
                <w:bCs/>
                <w:sz w:val="16"/>
                <w:szCs w:val="16"/>
                <w:lang w:eastAsia="es-ES"/>
              </w:rPr>
              <w:t>Sección 6.02</w:t>
            </w:r>
            <w:r w:rsidRPr="007B2C44">
              <w:rPr>
                <w:rFonts w:ascii="Verdana" w:hAnsi="Verdana" w:cs="Arial"/>
                <w:sz w:val="16"/>
                <w:szCs w:val="16"/>
                <w:lang w:eastAsia="es-ES"/>
              </w:rPr>
              <w:t xml:space="preserve"> Distribución de beneficios (a): </w:t>
            </w:r>
          </w:p>
        </w:tc>
        <w:tc>
          <w:tcPr>
            <w:tcW w:w="7229" w:type="dxa"/>
          </w:tcPr>
          <w:p w14:paraId="4D07E634" w14:textId="308534A5"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“La Entidad del Programa compartirá con los Beneficiarios una parte significativa de los Beneficios Monetarios y No Monetarios obtenidos en relación con la implementación del Programa de ER de la ISFL (incluidos los pagos recibidos por ER de Contrato transferidos y ER Adicionales). Para ello, la Entidad del Programa elaborará y presentará al Fideicomisario un Plan de Distribución de Beneficios.”</w:t>
            </w:r>
          </w:p>
        </w:tc>
      </w:tr>
      <w:tr w:rsidR="00DF69A5" w:rsidRPr="00152290" w14:paraId="3A4DF3E0" w14:textId="77777777" w:rsidTr="00DF69A5">
        <w:tc>
          <w:tcPr>
            <w:tcW w:w="1838" w:type="dxa"/>
          </w:tcPr>
          <w:p w14:paraId="785A22B0" w14:textId="2E885C64"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t xml:space="preserve">ARTÍCULO VI Desarrollo del Programa ISFL ER </w:t>
            </w:r>
            <w:r w:rsidRPr="007B2C44">
              <w:rPr>
                <w:rFonts w:ascii="Verdana" w:hAnsi="Verdana" w:cs="Arial"/>
                <w:b/>
                <w:bCs/>
                <w:sz w:val="16"/>
                <w:szCs w:val="16"/>
                <w:lang w:eastAsia="es-ES"/>
              </w:rPr>
              <w:t>Sección 6.03</w:t>
            </w:r>
            <w:r w:rsidRPr="007B2C44">
              <w:rPr>
                <w:rFonts w:ascii="Verdana" w:hAnsi="Verdana" w:cs="Arial"/>
                <w:sz w:val="16"/>
                <w:szCs w:val="16"/>
                <w:lang w:eastAsia="es-ES"/>
              </w:rPr>
              <w:t xml:space="preserve"> Beneficios no relacionados con el carbono (b):</w:t>
            </w:r>
          </w:p>
        </w:tc>
        <w:tc>
          <w:tcPr>
            <w:tcW w:w="7229" w:type="dxa"/>
          </w:tcPr>
          <w:p w14:paraId="34F1A65C" w14:textId="3FBED357"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“La Entidad del Programa deberá proporcionar información sobre sus esfuerzos para generar y/o mejorar los Beneficios No Relacionados con el Carbono (en la medida en que aún no estén previstos en ningún Plan de Salvaguardias pertinente, si corresponde) como parte de cada Informe de Monitoreo de ER.”</w:t>
            </w:r>
          </w:p>
        </w:tc>
      </w:tr>
      <w:tr w:rsidR="00DF69A5" w:rsidRPr="00152290" w14:paraId="3C7F3A82" w14:textId="77777777" w:rsidTr="00DF69A5">
        <w:tc>
          <w:tcPr>
            <w:tcW w:w="1838" w:type="dxa"/>
          </w:tcPr>
          <w:p w14:paraId="7E5F8FF6" w14:textId="4ADC3E5D"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t xml:space="preserve">ARTÍCULO VI Desarrollo del Programa ISFL ER </w:t>
            </w:r>
            <w:r w:rsidRPr="007B2C44">
              <w:rPr>
                <w:rFonts w:ascii="Verdana" w:hAnsi="Verdana" w:cs="Arial"/>
                <w:b/>
                <w:bCs/>
                <w:sz w:val="16"/>
                <w:szCs w:val="16"/>
                <w:lang w:eastAsia="es-ES"/>
              </w:rPr>
              <w:t>Sección 6.04</w:t>
            </w:r>
            <w:r w:rsidRPr="007B2C44">
              <w:rPr>
                <w:rFonts w:ascii="Verdana" w:hAnsi="Verdana" w:cs="Arial"/>
                <w:sz w:val="16"/>
                <w:szCs w:val="16"/>
                <w:lang w:eastAsia="es-ES"/>
              </w:rPr>
              <w:t xml:space="preserve"> Requisitos del Programa ISFL ER (b):</w:t>
            </w:r>
          </w:p>
        </w:tc>
        <w:tc>
          <w:tcPr>
            <w:tcW w:w="7229" w:type="dxa"/>
          </w:tcPr>
          <w:p w14:paraId="3322DAC3" w14:textId="5518A4BC"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“Las Partes acuerdan cooperar de buena fe para preparar y finalizar la Documentación Actualizada del Programa ISFL ER para cada Fase ERPA de acuerdo con los términos del Acuerdo Marco ERPA.”</w:t>
            </w:r>
          </w:p>
        </w:tc>
      </w:tr>
      <w:tr w:rsidR="00DF69A5" w:rsidRPr="00152290" w14:paraId="52F65E7D" w14:textId="77777777" w:rsidTr="00DF69A5">
        <w:tc>
          <w:tcPr>
            <w:tcW w:w="1838" w:type="dxa"/>
          </w:tcPr>
          <w:p w14:paraId="77F463EA" w14:textId="3E94B105"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t xml:space="preserve">ARTÍCULO VIII Registro y Verificación </w:t>
            </w:r>
            <w:r w:rsidRPr="007B2C44">
              <w:rPr>
                <w:rFonts w:ascii="Verdana" w:hAnsi="Verdana" w:cs="Arial"/>
                <w:b/>
                <w:bCs/>
                <w:sz w:val="16"/>
                <w:szCs w:val="16"/>
                <w:lang w:eastAsia="es-ES"/>
              </w:rPr>
              <w:t>Sección 8.01</w:t>
            </w:r>
            <w:r w:rsidRPr="007B2C44">
              <w:rPr>
                <w:rFonts w:ascii="Verdana" w:hAnsi="Verdana" w:cs="Arial"/>
                <w:sz w:val="16"/>
                <w:szCs w:val="16"/>
                <w:lang w:eastAsia="es-ES"/>
              </w:rPr>
              <w:t xml:space="preserve"> Registro (b):</w:t>
            </w:r>
          </w:p>
        </w:tc>
        <w:tc>
          <w:tcPr>
            <w:tcW w:w="7229" w:type="dxa"/>
          </w:tcPr>
          <w:p w14:paraId="75AA0E47" w14:textId="71D10367"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“Las Partes acuerdan cooperar para obtener el Registro y todas las demás aprobaciones del Programa ISFL ER y/o las Medidas del Programa ISFL ER, según se considere necesario para este propósito.”</w:t>
            </w:r>
          </w:p>
        </w:tc>
      </w:tr>
      <w:tr w:rsidR="00DF69A5" w:rsidRPr="00152290" w14:paraId="14595967" w14:textId="77777777" w:rsidTr="00DF69A5">
        <w:tc>
          <w:tcPr>
            <w:tcW w:w="1838" w:type="dxa"/>
          </w:tcPr>
          <w:p w14:paraId="5093D4F3" w14:textId="5540C99B"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t xml:space="preserve">ARTÍCULO IX Operación y Gestión del Programa ISFL ER </w:t>
            </w:r>
            <w:r w:rsidRPr="007B2C44">
              <w:rPr>
                <w:rFonts w:ascii="Verdana" w:hAnsi="Verdana" w:cs="Arial"/>
                <w:b/>
                <w:bCs/>
                <w:sz w:val="16"/>
                <w:szCs w:val="16"/>
                <w:lang w:eastAsia="es-ES"/>
              </w:rPr>
              <w:t>Sección 9.01</w:t>
            </w:r>
            <w:r w:rsidRPr="007B2C44">
              <w:rPr>
                <w:rFonts w:ascii="Verdana" w:hAnsi="Verdana" w:cs="Arial"/>
                <w:sz w:val="16"/>
                <w:szCs w:val="16"/>
                <w:lang w:eastAsia="es-ES"/>
              </w:rPr>
              <w:t xml:space="preserve"> Operación e Implementación del Programa ISFL ER:</w:t>
            </w:r>
          </w:p>
        </w:tc>
        <w:tc>
          <w:tcPr>
            <w:tcW w:w="7229" w:type="dxa"/>
          </w:tcPr>
          <w:p w14:paraId="525D4B90" w14:textId="5FC51698"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“La Entidad del Programa deberá: (a) Operar e implementar el Programa ISFL ER y sus Medidas de acuerdo con los términos del ERPA, los Requisitos del Programa ISFL ER, el Plan de Distribución de Beneficios, el Manual de Operaciones del Plan de Distribución de Beneficios, los Documentos del Programa (incluido cualquier mecanismo de retroalimentación y resolución de quejas establecido en virtud del Programa ISFL ER y en relación con él) y las leyes y regulaciones aplicables, y de acuerdo con prácticas sólidas de ingeniería, finanzas y medio ambiente;”</w:t>
            </w:r>
          </w:p>
        </w:tc>
      </w:tr>
      <w:tr w:rsidR="00DF69A5" w:rsidRPr="00152290" w14:paraId="7ED7FA47" w14:textId="77777777" w:rsidTr="00DF69A5">
        <w:tc>
          <w:tcPr>
            <w:tcW w:w="1838" w:type="dxa"/>
          </w:tcPr>
          <w:p w14:paraId="42C77D83" w14:textId="1D00676F"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t xml:space="preserve">ARTÍCULO IX Operación y Gestión del Programa ISFL ER </w:t>
            </w:r>
            <w:r w:rsidRPr="007B2C44">
              <w:rPr>
                <w:rFonts w:ascii="Verdana" w:hAnsi="Verdana" w:cs="Arial"/>
                <w:b/>
                <w:bCs/>
                <w:sz w:val="16"/>
                <w:szCs w:val="16"/>
                <w:lang w:eastAsia="es-ES"/>
              </w:rPr>
              <w:t>Sección 9.01</w:t>
            </w:r>
            <w:r w:rsidRPr="007B2C44">
              <w:rPr>
                <w:rFonts w:ascii="Verdana" w:hAnsi="Verdana" w:cs="Arial"/>
                <w:sz w:val="16"/>
                <w:szCs w:val="16"/>
                <w:lang w:eastAsia="es-ES"/>
              </w:rPr>
              <w:t xml:space="preserve"> Operación e Implementación del Programa ISFL ER (b):</w:t>
            </w:r>
          </w:p>
        </w:tc>
        <w:tc>
          <w:tcPr>
            <w:tcW w:w="7229" w:type="dxa"/>
          </w:tcPr>
          <w:p w14:paraId="7A26F429" w14:textId="1E99B821"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“La Entidad del Programa deberá: (…) (b) Notificar de inmediato al Fideicomisario sobre la ocurrencia de cualquier evento que haga improbable que la Entidad del Programa pueda cumplir con sus obligaciones en virtud del Acuerdo Marco del ERPA o cualquier Acuerdo de Fase del ERPA, incluyendo, entre otras, su obligación de transferir los Montos Mínimos del Periodo de Informe y los Montos Acumulativos de las ER del Contrato para cada Periodo de Informe de conformidad con el Acuerdo Marco del ERPA y los respectivos Acuerdos de Fase del ERPA, o cualquier incumplimiento real de dichas obligaciones;”</w:t>
            </w:r>
          </w:p>
        </w:tc>
      </w:tr>
      <w:tr w:rsidR="00DF69A5" w:rsidRPr="00152290" w14:paraId="7F64576C" w14:textId="77777777" w:rsidTr="00DF69A5">
        <w:tc>
          <w:tcPr>
            <w:tcW w:w="1838" w:type="dxa"/>
          </w:tcPr>
          <w:p w14:paraId="3EA96C54" w14:textId="6C72237E"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t xml:space="preserve">ARTÍCULO IX Operación y Gestión del Programa ISFL ER </w:t>
            </w:r>
            <w:r w:rsidRPr="007B2C44">
              <w:rPr>
                <w:rFonts w:ascii="Verdana" w:hAnsi="Verdana" w:cs="Arial"/>
                <w:b/>
                <w:bCs/>
                <w:sz w:val="16"/>
                <w:szCs w:val="16"/>
                <w:lang w:eastAsia="es-ES"/>
              </w:rPr>
              <w:t>Sección 9.01</w:t>
            </w:r>
            <w:r w:rsidRPr="007B2C44">
              <w:rPr>
                <w:rFonts w:ascii="Verdana" w:hAnsi="Verdana" w:cs="Arial"/>
                <w:sz w:val="16"/>
                <w:szCs w:val="16"/>
                <w:lang w:eastAsia="es-ES"/>
              </w:rPr>
              <w:t xml:space="preserve"> Operación e </w:t>
            </w:r>
            <w:r w:rsidRPr="007B2C44">
              <w:rPr>
                <w:rFonts w:ascii="Verdana" w:hAnsi="Verdana" w:cs="Arial"/>
                <w:sz w:val="16"/>
                <w:szCs w:val="16"/>
                <w:lang w:eastAsia="es-ES"/>
              </w:rPr>
              <w:lastRenderedPageBreak/>
              <w:t>Implementación del Programa ISFL ER (c):</w:t>
            </w:r>
          </w:p>
        </w:tc>
        <w:tc>
          <w:tcPr>
            <w:tcW w:w="7229" w:type="dxa"/>
          </w:tcPr>
          <w:p w14:paraId="04ADB9FF" w14:textId="1B3A109F"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lastRenderedPageBreak/>
              <w:t>“La Entidad del Programa deberá: (…) (c) informar al Fideicomisario sobre cualquier modificación prevista en el Programa ER de la ISFL que requiera una modificación de cualquier Documento del Programa;”</w:t>
            </w:r>
          </w:p>
        </w:tc>
      </w:tr>
      <w:tr w:rsidR="00DF69A5" w:rsidRPr="00152290" w14:paraId="4CDA693E" w14:textId="77777777" w:rsidTr="00DF69A5">
        <w:tc>
          <w:tcPr>
            <w:tcW w:w="1838" w:type="dxa"/>
          </w:tcPr>
          <w:p w14:paraId="477AB648" w14:textId="3A74FD9F"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t xml:space="preserve">ARTÍCULO IX Operación y Gestión del Programa ISFL ER </w:t>
            </w:r>
            <w:r w:rsidRPr="007B2C44">
              <w:rPr>
                <w:rFonts w:ascii="Verdana" w:hAnsi="Verdana" w:cs="Arial"/>
                <w:b/>
                <w:bCs/>
                <w:sz w:val="16"/>
                <w:szCs w:val="16"/>
                <w:lang w:eastAsia="es-ES"/>
              </w:rPr>
              <w:t>Sección 9.01</w:t>
            </w:r>
            <w:r w:rsidRPr="007B2C44">
              <w:rPr>
                <w:rFonts w:ascii="Verdana" w:hAnsi="Verdana" w:cs="Arial"/>
                <w:sz w:val="16"/>
                <w:szCs w:val="16"/>
                <w:lang w:eastAsia="es-ES"/>
              </w:rPr>
              <w:t xml:space="preserve"> Operación e Implementación del Programa ISFL ER (d):</w:t>
            </w:r>
          </w:p>
        </w:tc>
        <w:tc>
          <w:tcPr>
            <w:tcW w:w="7229" w:type="dxa"/>
          </w:tcPr>
          <w:p w14:paraId="49AFBF26" w14:textId="6D2409B2"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“La Entidad del Programa deberá: (…) (d) proporcionar al Fideicomisario toda la información solicitada por éste con respecto al funcionamiento del Programa ER de la ISFL;”</w:t>
            </w:r>
          </w:p>
        </w:tc>
      </w:tr>
      <w:tr w:rsidR="00DF69A5" w:rsidRPr="00152290" w14:paraId="674EF47B" w14:textId="77777777" w:rsidTr="00DF69A5">
        <w:tc>
          <w:tcPr>
            <w:tcW w:w="1838" w:type="dxa"/>
          </w:tcPr>
          <w:p w14:paraId="720455F3" w14:textId="6A8D3484"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t xml:space="preserve">ARTÍCULO IX Operación y Gestión del Programa ISFL ER </w:t>
            </w:r>
            <w:r w:rsidRPr="007B2C44">
              <w:rPr>
                <w:rFonts w:ascii="Verdana" w:hAnsi="Verdana" w:cs="Arial"/>
                <w:b/>
                <w:bCs/>
                <w:sz w:val="16"/>
                <w:szCs w:val="16"/>
                <w:lang w:eastAsia="es-ES"/>
              </w:rPr>
              <w:t>Sección 9.01</w:t>
            </w:r>
            <w:r w:rsidRPr="007B2C44">
              <w:rPr>
                <w:rFonts w:ascii="Verdana" w:hAnsi="Verdana" w:cs="Arial"/>
                <w:sz w:val="16"/>
                <w:szCs w:val="16"/>
                <w:lang w:eastAsia="es-ES"/>
              </w:rPr>
              <w:t xml:space="preserve"> Operación e Implementación del Programa ISFL ER (e):</w:t>
            </w:r>
          </w:p>
        </w:tc>
        <w:tc>
          <w:tcPr>
            <w:tcW w:w="7229" w:type="dxa"/>
          </w:tcPr>
          <w:p w14:paraId="2B6230BB" w14:textId="09D0F9E0"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“La Entidad del Programa deberá: (…) (e) Operar e implementar el Programa ISFL ER y llevar a cabo y gestionar las Medidas del Programa ISFL ER de conformidad con las Políticas y Procedimientos Operacionales del Banco Mundial y cualquier Plan de Salvaguardias previsto en el Acuerdo Marco ERPA y cualquier Acuerdo de Fase ERPA.”</w:t>
            </w:r>
          </w:p>
        </w:tc>
      </w:tr>
      <w:tr w:rsidR="00DF69A5" w:rsidRPr="00152290" w14:paraId="5CB7601D" w14:textId="77777777" w:rsidTr="00DF69A5">
        <w:tc>
          <w:tcPr>
            <w:tcW w:w="1838" w:type="dxa"/>
          </w:tcPr>
          <w:p w14:paraId="5B05F49D" w14:textId="55953559"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t xml:space="preserve">ARTÍCULO IX Operación y Gestión del Programa ISFL ER </w:t>
            </w:r>
            <w:r w:rsidRPr="007B2C44">
              <w:rPr>
                <w:rFonts w:ascii="Verdana" w:hAnsi="Verdana" w:cs="Arial"/>
                <w:b/>
                <w:bCs/>
                <w:sz w:val="16"/>
                <w:szCs w:val="16"/>
                <w:lang w:eastAsia="es-ES"/>
              </w:rPr>
              <w:t>Sección 9.01</w:t>
            </w:r>
            <w:r w:rsidRPr="007B2C44">
              <w:rPr>
                <w:rFonts w:ascii="Verdana" w:hAnsi="Verdana" w:cs="Arial"/>
                <w:sz w:val="16"/>
                <w:szCs w:val="16"/>
                <w:lang w:eastAsia="es-ES"/>
              </w:rPr>
              <w:t xml:space="preserve"> Operación e Implementación del Programa ISFL ER (f):</w:t>
            </w:r>
          </w:p>
        </w:tc>
        <w:tc>
          <w:tcPr>
            <w:tcW w:w="7229" w:type="dxa"/>
          </w:tcPr>
          <w:p w14:paraId="0E861463" w14:textId="65E5792A"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“La Entidad del Programa deberá: (…) (f) garantizar la instalación, operación y mantenimiento de las instalaciones y equipos, así como la retención del personal necesario para recopilar todos los datos que requiera el Plan de Monitoreo de ER, incluyendo el establecimiento y mantenimiento de todos los sistemas de medición y recopilación de datos relacionados que sean necesarios;”</w:t>
            </w:r>
          </w:p>
        </w:tc>
      </w:tr>
      <w:tr w:rsidR="00DF69A5" w:rsidRPr="00152290" w14:paraId="51624207" w14:textId="77777777" w:rsidTr="00DF69A5">
        <w:tc>
          <w:tcPr>
            <w:tcW w:w="1838" w:type="dxa"/>
          </w:tcPr>
          <w:p w14:paraId="28FEB6C7" w14:textId="0F1CEDFA"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t xml:space="preserve">ARTÍCULO IX Operación y Gestión del Programa ISFL ER </w:t>
            </w:r>
            <w:r w:rsidRPr="007B2C44">
              <w:rPr>
                <w:rFonts w:ascii="Verdana" w:hAnsi="Verdana" w:cs="Arial"/>
                <w:b/>
                <w:bCs/>
                <w:sz w:val="16"/>
                <w:szCs w:val="16"/>
                <w:lang w:eastAsia="es-ES"/>
              </w:rPr>
              <w:t>Sección 9.01</w:t>
            </w:r>
            <w:r w:rsidRPr="007B2C44">
              <w:rPr>
                <w:rFonts w:ascii="Verdana" w:hAnsi="Verdana" w:cs="Arial"/>
                <w:sz w:val="16"/>
                <w:szCs w:val="16"/>
                <w:lang w:eastAsia="es-ES"/>
              </w:rPr>
              <w:t xml:space="preserve"> Operación e Implementación del Programa ISFL ER (g):</w:t>
            </w:r>
          </w:p>
        </w:tc>
        <w:tc>
          <w:tcPr>
            <w:tcW w:w="7229" w:type="dxa"/>
          </w:tcPr>
          <w:p w14:paraId="4EB6B800" w14:textId="3B379209"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“La Entidad del Programa deberá: (…) (g) proporcionar al Fideicomisario y a sus nominados o hacer todos los esfuerzos razonables para garantizar que el Fideicomisario y sus nominados tengan acceso a la Tierra y a todos los registros relevantes sin interferencias para los fines del Acuerdo Marco del ERPA y cualquier Fase del Acuerdo ERPA;”</w:t>
            </w:r>
          </w:p>
        </w:tc>
      </w:tr>
      <w:tr w:rsidR="00DF69A5" w:rsidRPr="00152290" w14:paraId="1A91EC3B" w14:textId="77777777" w:rsidTr="00DF69A5">
        <w:tc>
          <w:tcPr>
            <w:tcW w:w="1838" w:type="dxa"/>
          </w:tcPr>
          <w:p w14:paraId="21F4C030" w14:textId="36D308D5"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t xml:space="preserve">ARTÍCULO IX Operación y Gestión del Programa ISFL ER </w:t>
            </w:r>
            <w:r w:rsidRPr="007B2C44">
              <w:rPr>
                <w:rFonts w:ascii="Verdana" w:hAnsi="Verdana" w:cs="Arial"/>
                <w:b/>
                <w:bCs/>
                <w:sz w:val="16"/>
                <w:szCs w:val="16"/>
                <w:lang w:eastAsia="es-ES"/>
              </w:rPr>
              <w:t>Sección 9.01</w:t>
            </w:r>
            <w:r w:rsidRPr="007B2C44">
              <w:rPr>
                <w:rFonts w:ascii="Verdana" w:hAnsi="Verdana" w:cs="Arial"/>
                <w:sz w:val="16"/>
                <w:szCs w:val="16"/>
                <w:lang w:eastAsia="es-ES"/>
              </w:rPr>
              <w:t xml:space="preserve"> Operación e Implementación del Programa ISFL ER (h):</w:t>
            </w:r>
          </w:p>
        </w:tc>
        <w:tc>
          <w:tcPr>
            <w:tcW w:w="7229" w:type="dxa"/>
          </w:tcPr>
          <w:p w14:paraId="457DC8CE" w14:textId="4A84AD88"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“La Entidad del Programa deberá: (…) (h) si toma conocimiento de cualquier cambio en las políticas, leyes y regulaciones del País Anfitrión que pudiera afectar materialmente el estatus legal, incluyendo la tenencia, de cualquier parte de la Tierra y por lo tanto afectar adversamente la capacidad de la Entidad del Programa para cumplir con sus obligaciones bajo el Acuerdo Marco ERPA o cualquier Acuerdo de Fase ERPA, notificar de inmediato al Fideicomisario sobre dicho evento;”</w:t>
            </w:r>
          </w:p>
        </w:tc>
      </w:tr>
      <w:tr w:rsidR="00DF69A5" w:rsidRPr="00152290" w14:paraId="7C7BCD14" w14:textId="77777777" w:rsidTr="00DF69A5">
        <w:tc>
          <w:tcPr>
            <w:tcW w:w="1838" w:type="dxa"/>
          </w:tcPr>
          <w:p w14:paraId="6B20554B" w14:textId="2E541916"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t xml:space="preserve">ARTÍCULO IX Operación y Gestión del Programa ISFL ER </w:t>
            </w:r>
            <w:r w:rsidRPr="007B2C44">
              <w:rPr>
                <w:rFonts w:ascii="Verdana" w:hAnsi="Verdana" w:cs="Arial"/>
                <w:b/>
                <w:bCs/>
                <w:sz w:val="16"/>
                <w:szCs w:val="16"/>
                <w:lang w:eastAsia="es-ES"/>
              </w:rPr>
              <w:t>Sección 9.01</w:t>
            </w:r>
            <w:r w:rsidRPr="007B2C44">
              <w:rPr>
                <w:rFonts w:ascii="Verdana" w:hAnsi="Verdana" w:cs="Arial"/>
                <w:sz w:val="16"/>
                <w:szCs w:val="16"/>
                <w:lang w:eastAsia="es-ES"/>
              </w:rPr>
              <w:t xml:space="preserve"> </w:t>
            </w:r>
            <w:r w:rsidRPr="007B2C44">
              <w:rPr>
                <w:rFonts w:ascii="Verdana" w:hAnsi="Verdana" w:cs="Arial"/>
                <w:sz w:val="16"/>
                <w:szCs w:val="16"/>
                <w:lang w:eastAsia="es-ES"/>
              </w:rPr>
              <w:lastRenderedPageBreak/>
              <w:t>Operación e Implementación del Programa ISFL ER (i):</w:t>
            </w:r>
          </w:p>
        </w:tc>
        <w:tc>
          <w:tcPr>
            <w:tcW w:w="7229" w:type="dxa"/>
          </w:tcPr>
          <w:p w14:paraId="5275117C" w14:textId="4B44D710"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lastRenderedPageBreak/>
              <w:t>“La Entidad del Programa deberá: (…) (i) cumplir con todas las obligaciones bajo todas las licencias, permisos, consentimientos y autorizaciones otorgadas a la Entidad del Programa que se requieren para operar e implementar el Programa ISFL ER;”</w:t>
            </w:r>
          </w:p>
        </w:tc>
      </w:tr>
      <w:tr w:rsidR="00DF69A5" w:rsidRPr="00152290" w14:paraId="48708F7D" w14:textId="77777777" w:rsidTr="00DF69A5">
        <w:tc>
          <w:tcPr>
            <w:tcW w:w="1838" w:type="dxa"/>
          </w:tcPr>
          <w:p w14:paraId="190000A6" w14:textId="4BC7DC35"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t xml:space="preserve">ARTÍCULO IX Operación y Gestión del Programa ISFL ER </w:t>
            </w:r>
            <w:r w:rsidRPr="007B2C44">
              <w:rPr>
                <w:rFonts w:ascii="Verdana" w:hAnsi="Verdana" w:cs="Arial"/>
                <w:b/>
                <w:bCs/>
                <w:sz w:val="16"/>
                <w:szCs w:val="16"/>
                <w:lang w:eastAsia="es-ES"/>
              </w:rPr>
              <w:t>Sección 9.01</w:t>
            </w:r>
            <w:r w:rsidRPr="007B2C44">
              <w:rPr>
                <w:rFonts w:ascii="Verdana" w:hAnsi="Verdana" w:cs="Arial"/>
                <w:sz w:val="16"/>
                <w:szCs w:val="16"/>
                <w:lang w:eastAsia="es-ES"/>
              </w:rPr>
              <w:t xml:space="preserve"> Operación e Implementación del Programa ISFL ER (j):</w:t>
            </w:r>
          </w:p>
        </w:tc>
        <w:tc>
          <w:tcPr>
            <w:tcW w:w="7229" w:type="dxa"/>
          </w:tcPr>
          <w:p w14:paraId="30259E59" w14:textId="2A068046"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“La Entidad del Programa deberá: (…) (j) permitir al Fideicomisario y a sus representantes inspeccionar todas las cuentas y registros de la Entidad del Programa y otros documentos en relación con el Programa ER de la ISFL y para los fines del Acuerdo Marco ERPA o cualquier Acuerdo de Fase ERPA y que sean auditados por, o en nombre de, el Fideicomisario y por cuenta y costo del Fideicomisario;”</w:t>
            </w:r>
          </w:p>
        </w:tc>
      </w:tr>
      <w:tr w:rsidR="00DF69A5" w:rsidRPr="00152290" w14:paraId="58E6CC8E" w14:textId="77777777" w:rsidTr="00DF69A5">
        <w:tc>
          <w:tcPr>
            <w:tcW w:w="1838" w:type="dxa"/>
          </w:tcPr>
          <w:p w14:paraId="213D8B19" w14:textId="04ABA507"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t xml:space="preserve">ARTÍCULO IX Operación y Gestión del Programa ISFL ER </w:t>
            </w:r>
            <w:r w:rsidRPr="007B2C44">
              <w:rPr>
                <w:rFonts w:ascii="Verdana" w:hAnsi="Verdana" w:cs="Arial"/>
                <w:b/>
                <w:bCs/>
                <w:sz w:val="16"/>
                <w:szCs w:val="16"/>
                <w:lang w:eastAsia="es-ES"/>
              </w:rPr>
              <w:t>Sección 9.01</w:t>
            </w:r>
            <w:r w:rsidRPr="007B2C44">
              <w:rPr>
                <w:rFonts w:ascii="Verdana" w:hAnsi="Verdana" w:cs="Arial"/>
                <w:sz w:val="16"/>
                <w:szCs w:val="16"/>
                <w:lang w:eastAsia="es-ES"/>
              </w:rPr>
              <w:t xml:space="preserve"> Operación e Implementación del Programa ISFL ER (k):</w:t>
            </w:r>
          </w:p>
        </w:tc>
        <w:tc>
          <w:tcPr>
            <w:tcW w:w="7229" w:type="dxa"/>
          </w:tcPr>
          <w:p w14:paraId="510E0C02" w14:textId="797EF78F"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“La Entidad del Programa deberá: (…) (k) cooperar plenamente con el Fideicomisario y el Revisor Independiente en lo que respecta a la implementación del Plan de Monitoreo de ER y la Verificación periódica de los ER;”</w:t>
            </w:r>
          </w:p>
        </w:tc>
      </w:tr>
      <w:tr w:rsidR="00DF69A5" w:rsidRPr="00152290" w14:paraId="155BC5D0" w14:textId="77777777" w:rsidTr="00DF69A5">
        <w:tc>
          <w:tcPr>
            <w:tcW w:w="1838" w:type="dxa"/>
          </w:tcPr>
          <w:p w14:paraId="294242F9" w14:textId="5724CE0F"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t xml:space="preserve">ARTÍCULO IX Operación y Gestión del Programa ISFL ER </w:t>
            </w:r>
            <w:r w:rsidRPr="007B2C44">
              <w:rPr>
                <w:rFonts w:ascii="Verdana" w:hAnsi="Verdana" w:cs="Arial"/>
                <w:b/>
                <w:bCs/>
                <w:sz w:val="16"/>
                <w:szCs w:val="16"/>
                <w:lang w:eastAsia="es-ES"/>
              </w:rPr>
              <w:t>Sección 9.01</w:t>
            </w:r>
            <w:r w:rsidRPr="007B2C44">
              <w:rPr>
                <w:rFonts w:ascii="Verdana" w:hAnsi="Verdana" w:cs="Arial"/>
                <w:sz w:val="16"/>
                <w:szCs w:val="16"/>
                <w:lang w:eastAsia="es-ES"/>
              </w:rPr>
              <w:t xml:space="preserve"> Operación e Implementación del Programa ISFL ER (l):</w:t>
            </w:r>
          </w:p>
        </w:tc>
        <w:tc>
          <w:tcPr>
            <w:tcW w:w="7229" w:type="dxa"/>
          </w:tcPr>
          <w:p w14:paraId="6E1006B2" w14:textId="3CC41B5A"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 xml:space="preserve">“La Entidad del Programa deberá: (…) (l) Cooperar plenamente con el Fideicomisario y otros registros, entidades y autoridades pertinentes en relación con la emisión, transferencia y reenvío de ER Contractuales y ER Adicionales a cualquier Cuenta de Registro designada por el Fideicomisario, así como la conversión de cualquier ER Contractual transferida y/o ER Adicional en cualquier crédito de ER que los Participantes de </w:t>
            </w:r>
            <w:proofErr w:type="spellStart"/>
            <w:r w:rsidRPr="007B2C44">
              <w:rPr>
                <w:rFonts w:ascii="Verdana" w:hAnsi="Verdana" w:cs="Arial"/>
                <w:i/>
                <w:iCs/>
                <w:sz w:val="16"/>
                <w:szCs w:val="16"/>
                <w:lang w:eastAsia="es-ES"/>
              </w:rPr>
              <w:t>BioCF</w:t>
            </w:r>
            <w:proofErr w:type="spellEnd"/>
            <w:r w:rsidRPr="007B2C44">
              <w:rPr>
                <w:rFonts w:ascii="Verdana" w:hAnsi="Verdana" w:cs="Arial"/>
                <w:i/>
                <w:iCs/>
                <w:sz w:val="16"/>
                <w:szCs w:val="16"/>
                <w:lang w:eastAsia="es-ES"/>
              </w:rPr>
              <w:t xml:space="preserve"> T3 puedan utilizar para fines de cumplimiento en cualquier mercado de carbono de cumplimiento existente o futuro, o para fines de reventa; y”</w:t>
            </w:r>
          </w:p>
        </w:tc>
      </w:tr>
      <w:tr w:rsidR="00DF69A5" w:rsidRPr="00152290" w14:paraId="1548FE4E" w14:textId="77777777" w:rsidTr="00DF69A5">
        <w:tc>
          <w:tcPr>
            <w:tcW w:w="1838" w:type="dxa"/>
          </w:tcPr>
          <w:p w14:paraId="7CC070EF" w14:textId="79BE3E6D"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t xml:space="preserve">ARTÍCULO IX Operación y Gestión del Programa ISFL ER </w:t>
            </w:r>
            <w:r w:rsidRPr="007B2C44">
              <w:rPr>
                <w:rFonts w:ascii="Verdana" w:hAnsi="Verdana" w:cs="Arial"/>
                <w:b/>
                <w:bCs/>
                <w:sz w:val="16"/>
                <w:szCs w:val="16"/>
                <w:lang w:eastAsia="es-ES"/>
              </w:rPr>
              <w:t>Sección 9.01</w:t>
            </w:r>
            <w:r w:rsidRPr="007B2C44">
              <w:rPr>
                <w:rFonts w:ascii="Verdana" w:hAnsi="Verdana" w:cs="Arial"/>
                <w:sz w:val="16"/>
                <w:szCs w:val="16"/>
                <w:lang w:eastAsia="es-ES"/>
              </w:rPr>
              <w:t xml:space="preserve"> Operación e Implementación del Programa ISFL ER (m):</w:t>
            </w:r>
          </w:p>
        </w:tc>
        <w:tc>
          <w:tcPr>
            <w:tcW w:w="7229" w:type="dxa"/>
          </w:tcPr>
          <w:p w14:paraId="7DB97FC0" w14:textId="041C7206"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“La Entidad del Programa deberá: (…) (m) No participará, ni autorizará ni permitirá que ninguna filial ni persona que actúe en su nombre participe en ninguna Práctica Sancionable. La Entidad del Programa se compromete, además, a que, si el Fideicomisario le notifica su preocupación por una infracción de las disposiciones de esta Sección o de la Sección 13.02(g), cooperará de buena fe con el Fideicomisario y sus representantes para determinar si se ha producido dicha infracción, responderá con prontitud y con un nivel de detalle razonable a cualquier notificación del Fideicomisario y proporcionará documentación que respalde dicha respuesta a solicitud del Fideicomisario.”</w:t>
            </w:r>
          </w:p>
        </w:tc>
      </w:tr>
      <w:tr w:rsidR="00DF69A5" w:rsidRPr="00152290" w14:paraId="7F5295EE" w14:textId="77777777" w:rsidTr="00DF69A5">
        <w:tc>
          <w:tcPr>
            <w:tcW w:w="1838" w:type="dxa"/>
          </w:tcPr>
          <w:p w14:paraId="22A966AD" w14:textId="47193A7A"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t xml:space="preserve">ARTÍCULO IX Operación y Gestión del Programa ISFL ER </w:t>
            </w:r>
            <w:r w:rsidRPr="007B2C44">
              <w:rPr>
                <w:rFonts w:ascii="Verdana" w:hAnsi="Verdana" w:cs="Arial"/>
                <w:b/>
                <w:bCs/>
                <w:sz w:val="16"/>
                <w:szCs w:val="16"/>
                <w:lang w:eastAsia="es-ES"/>
              </w:rPr>
              <w:t>Sección 9.02</w:t>
            </w:r>
            <w:r w:rsidRPr="007B2C44">
              <w:rPr>
                <w:rFonts w:ascii="Verdana" w:hAnsi="Verdana" w:cs="Arial"/>
                <w:sz w:val="16"/>
                <w:szCs w:val="16"/>
                <w:lang w:eastAsia="es-ES"/>
              </w:rPr>
              <w:t xml:space="preserve"> Operación e Implementación del Subproyecto (a):</w:t>
            </w:r>
          </w:p>
        </w:tc>
        <w:tc>
          <w:tcPr>
            <w:tcW w:w="7229" w:type="dxa"/>
          </w:tcPr>
          <w:p w14:paraId="57D4B331" w14:textId="79D0A36A"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“Sin perjuicio de la responsabilidad de la Entidad del Programa por la operación e implementación del Programa ISFL ER y sus Medidas, según el Acuerdo Marco del ERPA y cualquier Acuerdo de Fase del ERPA, la Entidad del Programa podrá suscribir Acuerdos de Subproyecto con las Entidades del Subproyecto para ayudarla a operar e implementar el Programa ISFL ER y sus Medidas, según se especifica en el Acuerdo Marco del ERPA. Antes de firmar el primer Acuerdo de Subproyecto. La Entidad del Programa deberá brindar al fiduciario la oportunidad de revisar y comentar los términos del acuerdo. El Acuerdo de Subproyecto deberá reflejar dichos comentarios en el Acuerdo de Subproyecto y utilizar dicho Acuerdo como muestra para todos los demás Acuerdos de Subproyecto.”</w:t>
            </w:r>
          </w:p>
        </w:tc>
      </w:tr>
      <w:tr w:rsidR="00DF69A5" w:rsidRPr="00152290" w14:paraId="70E5B247" w14:textId="77777777" w:rsidTr="00DF69A5">
        <w:tc>
          <w:tcPr>
            <w:tcW w:w="1838" w:type="dxa"/>
          </w:tcPr>
          <w:p w14:paraId="1E4ED867" w14:textId="01D39F77"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lastRenderedPageBreak/>
              <w:t xml:space="preserve">ARTÍCULO IX Operación y Gestión del Programa ISFL ER </w:t>
            </w:r>
            <w:r w:rsidRPr="007B2C44">
              <w:rPr>
                <w:rFonts w:ascii="Verdana" w:hAnsi="Verdana" w:cs="Arial"/>
                <w:b/>
                <w:bCs/>
                <w:sz w:val="16"/>
                <w:szCs w:val="16"/>
                <w:lang w:eastAsia="es-ES"/>
              </w:rPr>
              <w:t>Sección 9.02</w:t>
            </w:r>
            <w:r w:rsidRPr="007B2C44">
              <w:rPr>
                <w:rFonts w:ascii="Verdana" w:hAnsi="Verdana" w:cs="Arial"/>
                <w:sz w:val="16"/>
                <w:szCs w:val="16"/>
                <w:lang w:eastAsia="es-ES"/>
              </w:rPr>
              <w:t xml:space="preserve"> Operación e Implementación del Subproyecto (b):</w:t>
            </w:r>
          </w:p>
        </w:tc>
        <w:tc>
          <w:tcPr>
            <w:tcW w:w="7229" w:type="dxa"/>
          </w:tcPr>
          <w:p w14:paraId="51D0B485" w14:textId="1D0B1607"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“La Entidad del Programa tomará todas las medidas necesarias para garantizar que los Subproyectos se desarrollen, operen e implementen de conformidad con los Documentos del Programa y los términos del Acuerdo Marco ERPA y cualquier Acuerdo de Fase ERPA.”</w:t>
            </w:r>
          </w:p>
        </w:tc>
      </w:tr>
      <w:tr w:rsidR="00DF69A5" w:rsidRPr="00152290" w14:paraId="09BDED70" w14:textId="77777777" w:rsidTr="00DF69A5">
        <w:tc>
          <w:tcPr>
            <w:tcW w:w="1838" w:type="dxa"/>
          </w:tcPr>
          <w:p w14:paraId="36F54F6B" w14:textId="6FF8A23B"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t xml:space="preserve">ARTÍCULO IX Operación y Gestión del Programa ISFL ER </w:t>
            </w:r>
            <w:r w:rsidRPr="007B2C44">
              <w:rPr>
                <w:rFonts w:ascii="Verdana" w:hAnsi="Verdana" w:cs="Arial"/>
                <w:b/>
                <w:bCs/>
                <w:sz w:val="16"/>
                <w:szCs w:val="16"/>
                <w:lang w:eastAsia="es-ES"/>
              </w:rPr>
              <w:t>Sección 9.02</w:t>
            </w:r>
            <w:r w:rsidRPr="007B2C44">
              <w:rPr>
                <w:rFonts w:ascii="Verdana" w:hAnsi="Verdana" w:cs="Arial"/>
                <w:sz w:val="16"/>
                <w:szCs w:val="16"/>
                <w:lang w:eastAsia="es-ES"/>
              </w:rPr>
              <w:t xml:space="preserve"> Operación e Implementación del Subproyecto (c):</w:t>
            </w:r>
          </w:p>
        </w:tc>
        <w:tc>
          <w:tcPr>
            <w:tcW w:w="7229" w:type="dxa"/>
          </w:tcPr>
          <w:p w14:paraId="7BF49ED9" w14:textId="1BD05D45"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“La Entidad del Programa mantendrá informado al Fideicomisario sobre el progreso de la implementación de los Subproyectos e informará al Fideicomisario inmediatamente después de tener conocimiento de cualquier demora que pudiera afectar material y adversamente la capacidad de la Entidad del Programa para cumplir con sus obligaciones bajo el Acuerdo Marco ERPA y cualquier Acuerdo de Fase ERPA.”</w:t>
            </w:r>
          </w:p>
        </w:tc>
      </w:tr>
      <w:tr w:rsidR="00DF69A5" w:rsidRPr="00152290" w14:paraId="7B176A10" w14:textId="77777777" w:rsidTr="00DF69A5">
        <w:tc>
          <w:tcPr>
            <w:tcW w:w="1838" w:type="dxa"/>
          </w:tcPr>
          <w:p w14:paraId="564A90F7" w14:textId="7EDB244C"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t xml:space="preserve">ARTÍCULO IX Operación y Gestión del Programa ISFL ER </w:t>
            </w:r>
            <w:r w:rsidRPr="007B2C44">
              <w:rPr>
                <w:rFonts w:ascii="Verdana" w:hAnsi="Verdana" w:cs="Arial"/>
                <w:b/>
                <w:bCs/>
                <w:sz w:val="16"/>
                <w:szCs w:val="16"/>
                <w:lang w:eastAsia="es-ES"/>
              </w:rPr>
              <w:t>Sección 9.02</w:t>
            </w:r>
            <w:r w:rsidRPr="007B2C44">
              <w:rPr>
                <w:rFonts w:ascii="Verdana" w:hAnsi="Verdana" w:cs="Arial"/>
                <w:sz w:val="16"/>
                <w:szCs w:val="16"/>
                <w:lang w:eastAsia="es-ES"/>
              </w:rPr>
              <w:t xml:space="preserve"> Operación e Implementación del Subproyecto (d):</w:t>
            </w:r>
          </w:p>
        </w:tc>
        <w:tc>
          <w:tcPr>
            <w:tcW w:w="7229" w:type="dxa"/>
          </w:tcPr>
          <w:p w14:paraId="68C6F7D7" w14:textId="77777777" w:rsidR="00DF69A5" w:rsidRPr="007B2C44" w:rsidRDefault="00DF69A5" w:rsidP="00AB67A3">
            <w:pPr>
              <w:spacing w:after="240" w:line="276" w:lineRule="auto"/>
              <w:jc w:val="both"/>
              <w:rPr>
                <w:sz w:val="16"/>
                <w:szCs w:val="16"/>
              </w:rPr>
            </w:pPr>
            <w:r w:rsidRPr="007B2C44">
              <w:rPr>
                <w:rFonts w:ascii="Verdana" w:hAnsi="Verdana" w:cs="Arial"/>
                <w:i/>
                <w:iCs/>
                <w:sz w:val="16"/>
                <w:szCs w:val="16"/>
                <w:lang w:eastAsia="es-ES"/>
              </w:rPr>
              <w:t>“La Entidad del Programa será responsable de garantizar que cada Entidad del Subproyecto:</w:t>
            </w:r>
          </w:p>
          <w:p w14:paraId="6D434C93" w14:textId="77777777"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(i) ha implementado todos los requisitos aplicables del Plan de Monitoreo de ER;</w:t>
            </w:r>
          </w:p>
          <w:p w14:paraId="49DD9511" w14:textId="77777777"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w:t>
            </w:r>
            <w:proofErr w:type="spellStart"/>
            <w:r w:rsidRPr="007B2C44">
              <w:rPr>
                <w:rFonts w:ascii="Verdana" w:hAnsi="Verdana" w:cs="Arial"/>
                <w:i/>
                <w:iCs/>
                <w:sz w:val="16"/>
                <w:szCs w:val="16"/>
                <w:lang w:eastAsia="es-ES"/>
              </w:rPr>
              <w:t>ii</w:t>
            </w:r>
            <w:proofErr w:type="spellEnd"/>
            <w:r w:rsidRPr="007B2C44">
              <w:rPr>
                <w:rFonts w:ascii="Verdana" w:hAnsi="Verdana" w:cs="Arial"/>
                <w:i/>
                <w:iCs/>
                <w:sz w:val="16"/>
                <w:szCs w:val="16"/>
                <w:lang w:eastAsia="es-ES"/>
              </w:rPr>
              <w:t>) implementa su Subproyecto de acuerdo con los términos del Documento del Programa de ER de la ISFL;</w:t>
            </w:r>
          </w:p>
          <w:p w14:paraId="54AC9C25" w14:textId="77777777"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w:t>
            </w:r>
            <w:proofErr w:type="spellStart"/>
            <w:r w:rsidRPr="007B2C44">
              <w:rPr>
                <w:rFonts w:ascii="Verdana" w:hAnsi="Verdana" w:cs="Arial"/>
                <w:i/>
                <w:iCs/>
                <w:sz w:val="16"/>
                <w:szCs w:val="16"/>
                <w:lang w:eastAsia="es-ES"/>
              </w:rPr>
              <w:t>iii</w:t>
            </w:r>
            <w:proofErr w:type="spellEnd"/>
            <w:r w:rsidRPr="007B2C44">
              <w:rPr>
                <w:rFonts w:ascii="Verdana" w:hAnsi="Verdana" w:cs="Arial"/>
                <w:i/>
                <w:iCs/>
                <w:sz w:val="16"/>
                <w:szCs w:val="16"/>
                <w:lang w:eastAsia="es-ES"/>
              </w:rPr>
              <w:t>) instala, opera y mantiene las instalaciones y el equipo, y contrata al personal necesario para recopilar todos los datos que requiera el Plan de Monitoreo de ER, incluyendo el establecimiento y mantenimiento de todos los sistemas de medición y recopilación de datos relacionados que sean necesarios;</w:t>
            </w:r>
          </w:p>
          <w:p w14:paraId="7CEF11A7" w14:textId="77777777"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w:t>
            </w:r>
            <w:proofErr w:type="spellStart"/>
            <w:r w:rsidRPr="007B2C44">
              <w:rPr>
                <w:rFonts w:ascii="Verdana" w:hAnsi="Verdana" w:cs="Arial"/>
                <w:i/>
                <w:iCs/>
                <w:sz w:val="16"/>
                <w:szCs w:val="16"/>
                <w:lang w:eastAsia="es-ES"/>
              </w:rPr>
              <w:t>iv</w:t>
            </w:r>
            <w:proofErr w:type="spellEnd"/>
            <w:r w:rsidRPr="007B2C44">
              <w:rPr>
                <w:rFonts w:ascii="Verdana" w:hAnsi="Verdana" w:cs="Arial"/>
                <w:i/>
                <w:iCs/>
                <w:sz w:val="16"/>
                <w:szCs w:val="16"/>
                <w:lang w:eastAsia="es-ES"/>
              </w:rPr>
              <w:t>) transfiere a la Entidad del Programa, o le otorga derechos exclusivos para transferir al Fideicomisario, la titularidad de las ER generadas por su(s) respectivo(s) Subproyecto(s) y para que se transfieran como ER Contractuales y/o ER Adicionales al Fideicomisario en virtud del Acuerdo Marco del ERPA y cualquier Acuerdo de Fase del ERPA, libres de cualquier interés, gravamen o reclamación de un tercero, antes de cualquier Transferencia de ER en virtud del Acuerdo Marco del ERPA y cualquier Acuerdo de Fase del ERPA;</w:t>
            </w:r>
          </w:p>
          <w:p w14:paraId="7A85282E" w14:textId="77777777"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(v) observa, implementa y cumple todos los demás requisitos del Plan de Monitoreo de ER, en particular los relativos al desempeño ambiental y social y a los sistemas de gestión operativa;</w:t>
            </w:r>
          </w:p>
          <w:p w14:paraId="616357EE" w14:textId="77777777"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(vi) informa a la Entidad del Programa inmediatamente después de tener conocimiento de la ocurrencia de un Evento de Reversión en el marco de un Subproyecto;</w:t>
            </w:r>
          </w:p>
          <w:p w14:paraId="3B3142F7" w14:textId="77777777"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w:t>
            </w:r>
            <w:proofErr w:type="spellStart"/>
            <w:r w:rsidRPr="007B2C44">
              <w:rPr>
                <w:rFonts w:ascii="Verdana" w:hAnsi="Verdana" w:cs="Arial"/>
                <w:i/>
                <w:iCs/>
                <w:sz w:val="16"/>
                <w:szCs w:val="16"/>
                <w:lang w:eastAsia="es-ES"/>
              </w:rPr>
              <w:t>vii</w:t>
            </w:r>
            <w:proofErr w:type="spellEnd"/>
            <w:r w:rsidRPr="007B2C44">
              <w:rPr>
                <w:rFonts w:ascii="Verdana" w:hAnsi="Verdana" w:cs="Arial"/>
                <w:i/>
                <w:iCs/>
                <w:sz w:val="16"/>
                <w:szCs w:val="16"/>
                <w:lang w:eastAsia="es-ES"/>
              </w:rPr>
              <w:t>) opera e implementa su Subproyecto de conformidad con las Políticas y Procedimientos Operativos del Banco Mundial y los Planes de Salvaguardias previstos en el Acuerdo Marco del ERPA y en cualquier Acuerdo de Fase del ERPA; y</w:t>
            </w:r>
          </w:p>
          <w:p w14:paraId="05A8452D" w14:textId="4AD922EE"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w:t>
            </w:r>
            <w:proofErr w:type="spellStart"/>
            <w:r w:rsidRPr="007B2C44">
              <w:rPr>
                <w:rFonts w:ascii="Verdana" w:hAnsi="Verdana" w:cs="Arial"/>
                <w:i/>
                <w:iCs/>
                <w:sz w:val="16"/>
                <w:szCs w:val="16"/>
                <w:lang w:eastAsia="es-ES"/>
              </w:rPr>
              <w:t>viii</w:t>
            </w:r>
            <w:proofErr w:type="spellEnd"/>
            <w:r w:rsidRPr="007B2C44">
              <w:rPr>
                <w:rFonts w:ascii="Verdana" w:hAnsi="Verdana" w:cs="Arial"/>
                <w:i/>
                <w:iCs/>
                <w:sz w:val="16"/>
                <w:szCs w:val="16"/>
                <w:lang w:eastAsia="es-ES"/>
              </w:rPr>
              <w:t>) mantiene y prepara su Subproyecto para la Verificación.”</w:t>
            </w:r>
          </w:p>
        </w:tc>
      </w:tr>
      <w:tr w:rsidR="00DF69A5" w:rsidRPr="00152290" w14:paraId="43EEF60C" w14:textId="77777777" w:rsidTr="00DF69A5">
        <w:tc>
          <w:tcPr>
            <w:tcW w:w="1838" w:type="dxa"/>
          </w:tcPr>
          <w:p w14:paraId="4C4CDF53" w14:textId="1B8A24DB"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t xml:space="preserve">ARTÍCULO IX Operación y Gestión del Programa ISFL </w:t>
            </w:r>
            <w:r w:rsidRPr="007B2C44">
              <w:rPr>
                <w:rFonts w:ascii="Verdana" w:hAnsi="Verdana" w:cs="Arial"/>
                <w:sz w:val="16"/>
                <w:szCs w:val="16"/>
                <w:lang w:eastAsia="es-ES"/>
              </w:rPr>
              <w:lastRenderedPageBreak/>
              <w:t xml:space="preserve">ER </w:t>
            </w:r>
            <w:r w:rsidRPr="007B2C44">
              <w:rPr>
                <w:rFonts w:ascii="Verdana" w:hAnsi="Verdana" w:cs="Arial"/>
                <w:b/>
                <w:bCs/>
                <w:sz w:val="16"/>
                <w:szCs w:val="16"/>
                <w:lang w:eastAsia="es-ES"/>
              </w:rPr>
              <w:t>Sección 9.02</w:t>
            </w:r>
            <w:r w:rsidRPr="007B2C44">
              <w:rPr>
                <w:rFonts w:ascii="Verdana" w:hAnsi="Verdana" w:cs="Arial"/>
                <w:sz w:val="16"/>
                <w:szCs w:val="16"/>
                <w:lang w:eastAsia="es-ES"/>
              </w:rPr>
              <w:t xml:space="preserve"> Operación e Implementación del Subproyecto (e):</w:t>
            </w:r>
          </w:p>
        </w:tc>
        <w:tc>
          <w:tcPr>
            <w:tcW w:w="7229" w:type="dxa"/>
          </w:tcPr>
          <w:p w14:paraId="1DDBF874" w14:textId="77777777"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lastRenderedPageBreak/>
              <w:t>“La Entidad del Programa deberá:</w:t>
            </w:r>
          </w:p>
          <w:p w14:paraId="3DE96122" w14:textId="77777777"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lastRenderedPageBreak/>
              <w:t>(i) capacitar a las Entidades de Subproyecto para garantizar que cada una de ellas sea capaz de cumplir con la Sección 9.02;</w:t>
            </w:r>
          </w:p>
          <w:p w14:paraId="3D403BDB" w14:textId="77777777"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w:t>
            </w:r>
            <w:proofErr w:type="spellStart"/>
            <w:r w:rsidRPr="007B2C44">
              <w:rPr>
                <w:rFonts w:ascii="Verdana" w:hAnsi="Verdana" w:cs="Arial"/>
                <w:i/>
                <w:iCs/>
                <w:sz w:val="16"/>
                <w:szCs w:val="16"/>
                <w:lang w:eastAsia="es-ES"/>
              </w:rPr>
              <w:t>ii</w:t>
            </w:r>
            <w:proofErr w:type="spellEnd"/>
            <w:r w:rsidRPr="007B2C44">
              <w:rPr>
                <w:rFonts w:ascii="Verdana" w:hAnsi="Verdana" w:cs="Arial"/>
                <w:i/>
                <w:iCs/>
                <w:sz w:val="16"/>
                <w:szCs w:val="16"/>
                <w:lang w:eastAsia="es-ES"/>
              </w:rPr>
              <w:t>) recopilar, compilar y registrar, respecto a cada Subproyecto, toda la información requerida en el Plan de Monitoreo de ER;</w:t>
            </w:r>
          </w:p>
          <w:p w14:paraId="6445069D" w14:textId="77777777"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w:t>
            </w:r>
            <w:proofErr w:type="spellStart"/>
            <w:r w:rsidRPr="007B2C44">
              <w:rPr>
                <w:rFonts w:ascii="Verdana" w:hAnsi="Verdana" w:cs="Arial"/>
                <w:i/>
                <w:iCs/>
                <w:sz w:val="16"/>
                <w:szCs w:val="16"/>
                <w:lang w:eastAsia="es-ES"/>
              </w:rPr>
              <w:t>iii</w:t>
            </w:r>
            <w:proofErr w:type="spellEnd"/>
            <w:r w:rsidRPr="007B2C44">
              <w:rPr>
                <w:rFonts w:ascii="Verdana" w:hAnsi="Verdana" w:cs="Arial"/>
                <w:i/>
                <w:iCs/>
                <w:sz w:val="16"/>
                <w:szCs w:val="16"/>
                <w:lang w:eastAsia="es-ES"/>
              </w:rPr>
              <w:t>) asumir la plena responsabilidad de la implementación del Plan de Monitoreo de ER;</w:t>
            </w:r>
          </w:p>
          <w:p w14:paraId="471BAEDE" w14:textId="77777777"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w:t>
            </w:r>
            <w:proofErr w:type="spellStart"/>
            <w:r w:rsidRPr="007B2C44">
              <w:rPr>
                <w:rFonts w:ascii="Verdana" w:hAnsi="Verdana" w:cs="Arial"/>
                <w:i/>
                <w:iCs/>
                <w:sz w:val="16"/>
                <w:szCs w:val="16"/>
                <w:lang w:eastAsia="es-ES"/>
              </w:rPr>
              <w:t>iv</w:t>
            </w:r>
            <w:proofErr w:type="spellEnd"/>
            <w:r w:rsidRPr="007B2C44">
              <w:rPr>
                <w:rFonts w:ascii="Verdana" w:hAnsi="Verdana" w:cs="Arial"/>
                <w:i/>
                <w:iCs/>
                <w:sz w:val="16"/>
                <w:szCs w:val="16"/>
                <w:lang w:eastAsia="es-ES"/>
              </w:rPr>
              <w:t>) tomar todas las medidas necesarias para garantizar que los Subproyectos se desarrollen e implementen de conformidad con el Acuerdo Marco del ERPA y cualquier Acuerdo de Fase del ERPA;</w:t>
            </w:r>
          </w:p>
          <w:p w14:paraId="0C1061D4" w14:textId="77777777"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 xml:space="preserve">(v) </w:t>
            </w:r>
            <w:r w:rsidRPr="007B2C44">
              <w:rPr>
                <w:rFonts w:ascii="Arial" w:hAnsi="Arial" w:cs="Arial"/>
                <w:i/>
                <w:iCs/>
                <w:sz w:val="16"/>
                <w:szCs w:val="16"/>
                <w:lang w:eastAsia="es-ES"/>
              </w:rPr>
              <w:t>​​</w:t>
            </w:r>
            <w:r w:rsidRPr="007B2C44">
              <w:rPr>
                <w:rFonts w:ascii="Verdana" w:hAnsi="Verdana" w:cs="Arial"/>
                <w:i/>
                <w:iCs/>
                <w:sz w:val="16"/>
                <w:szCs w:val="16"/>
                <w:lang w:eastAsia="es-ES"/>
              </w:rPr>
              <w:t>proporcionar al Fideicomisario copias de todos los Acuerdos de Subproyecto ejecutados por la Entidad del Programa en relación con el Programa de ER de la ISFL;</w:t>
            </w:r>
          </w:p>
          <w:p w14:paraId="63168339" w14:textId="77777777"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(vi) gestionar la administración de cada Acuerdo de Subproyecto de manera que tanto la Entidad del Programa como la Entidad del Subproyecto correspondiente cumplan con sus obligaciones en virtud de cada uno de ellos;</w:t>
            </w:r>
          </w:p>
          <w:p w14:paraId="7DA6C8FE" w14:textId="77777777"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w:t>
            </w:r>
            <w:proofErr w:type="spellStart"/>
            <w:r w:rsidRPr="007B2C44">
              <w:rPr>
                <w:rFonts w:ascii="Verdana" w:hAnsi="Verdana" w:cs="Arial"/>
                <w:i/>
                <w:iCs/>
                <w:sz w:val="16"/>
                <w:szCs w:val="16"/>
                <w:lang w:eastAsia="es-ES"/>
              </w:rPr>
              <w:t>vii</w:t>
            </w:r>
            <w:proofErr w:type="spellEnd"/>
            <w:r w:rsidRPr="007B2C44">
              <w:rPr>
                <w:rFonts w:ascii="Verdana" w:hAnsi="Verdana" w:cs="Arial"/>
                <w:i/>
                <w:iCs/>
                <w:sz w:val="16"/>
                <w:szCs w:val="16"/>
                <w:lang w:eastAsia="es-ES"/>
              </w:rPr>
              <w:t>) notificar al Fideicomisario cualquier incumplimiento real o presunto de cualquier Acuerdo de Subproyecto, ya sea que dicho incumplimiento se produzca respecto de la Entidad del Programa o de una Entidad de Subproyecto;</w:t>
            </w:r>
          </w:p>
          <w:p w14:paraId="0279B555" w14:textId="77777777"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w:t>
            </w:r>
            <w:proofErr w:type="spellStart"/>
            <w:r w:rsidRPr="007B2C44">
              <w:rPr>
                <w:rFonts w:ascii="Verdana" w:hAnsi="Verdana" w:cs="Arial"/>
                <w:i/>
                <w:iCs/>
                <w:sz w:val="16"/>
                <w:szCs w:val="16"/>
                <w:lang w:eastAsia="es-ES"/>
              </w:rPr>
              <w:t>viii</w:t>
            </w:r>
            <w:proofErr w:type="spellEnd"/>
            <w:r w:rsidRPr="007B2C44">
              <w:rPr>
                <w:rFonts w:ascii="Verdana" w:hAnsi="Verdana" w:cs="Arial"/>
                <w:i/>
                <w:iCs/>
                <w:sz w:val="16"/>
                <w:szCs w:val="16"/>
                <w:lang w:eastAsia="es-ES"/>
              </w:rPr>
              <w:t>) mantener una base de datos con los detalles técnicos y financieros de cada Subproyecto, incluyendo la frecuencia de los informes y los estándares de garantía de calidad de los Subproyectos;</w:t>
            </w:r>
          </w:p>
          <w:p w14:paraId="122E3780" w14:textId="77777777"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w:t>
            </w:r>
            <w:proofErr w:type="spellStart"/>
            <w:r w:rsidRPr="007B2C44">
              <w:rPr>
                <w:rFonts w:ascii="Verdana" w:hAnsi="Verdana" w:cs="Arial"/>
                <w:i/>
                <w:iCs/>
                <w:sz w:val="16"/>
                <w:szCs w:val="16"/>
                <w:lang w:eastAsia="es-ES"/>
              </w:rPr>
              <w:t>ix</w:t>
            </w:r>
            <w:proofErr w:type="spellEnd"/>
            <w:r w:rsidRPr="007B2C44">
              <w:rPr>
                <w:rFonts w:ascii="Verdana" w:hAnsi="Verdana" w:cs="Arial"/>
                <w:i/>
                <w:iCs/>
                <w:sz w:val="16"/>
                <w:szCs w:val="16"/>
                <w:lang w:eastAsia="es-ES"/>
              </w:rPr>
              <w:t>) garantizar que cada Entidad de Subproyecto cumpla con todas las obligaciones relativas a las solicitudes de licencias, permisos, consentimientos y autorizaciones necesarias para operar e implementar su Subproyecto; y</w:t>
            </w:r>
          </w:p>
          <w:p w14:paraId="3C204234" w14:textId="4CBC2FAE"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(x) no celebrar un Acuerdo de Subproyecto para dicho Subproyecto ni ningún acuerdo relacionado con una Entidad de Subproyecto ni con ninguna otra entidad que sea una Entidad Excluida.”</w:t>
            </w:r>
          </w:p>
        </w:tc>
      </w:tr>
      <w:tr w:rsidR="00DF69A5" w:rsidRPr="00152290" w14:paraId="75D2D6CE" w14:textId="77777777" w:rsidTr="00DF69A5">
        <w:tc>
          <w:tcPr>
            <w:tcW w:w="1838" w:type="dxa"/>
          </w:tcPr>
          <w:p w14:paraId="41620F5D" w14:textId="23230413"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lastRenderedPageBreak/>
              <w:t xml:space="preserve">ARTÍCULO IX Operación y Gestión del Programa ISFL ER </w:t>
            </w:r>
            <w:r w:rsidRPr="007B2C44">
              <w:rPr>
                <w:rFonts w:ascii="Verdana" w:hAnsi="Verdana" w:cs="Arial"/>
                <w:b/>
                <w:bCs/>
                <w:sz w:val="16"/>
                <w:szCs w:val="16"/>
                <w:lang w:eastAsia="es-ES"/>
              </w:rPr>
              <w:t>Sección 9.04</w:t>
            </w:r>
            <w:r w:rsidRPr="007B2C44">
              <w:rPr>
                <w:rFonts w:ascii="Verdana" w:hAnsi="Verdana" w:cs="Arial"/>
                <w:sz w:val="16"/>
                <w:szCs w:val="16"/>
                <w:lang w:eastAsia="es-ES"/>
              </w:rPr>
              <w:t xml:space="preserve"> Adición de Subproyectos de Cumplimiento (a):</w:t>
            </w:r>
          </w:p>
        </w:tc>
        <w:tc>
          <w:tcPr>
            <w:tcW w:w="7229" w:type="dxa"/>
          </w:tcPr>
          <w:p w14:paraId="69F436ED" w14:textId="7A50013A"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“Si la Entidad del Programa considera razonablemente que puede no ser capaz de generar la cantidad requerida de ER de Contrato y/o ER Adicionales debido a circunstancias relacionadas con Subproyectos con respecto a los cuales ha proporcionado un Aviso de Incumplimiento dentro de los noventa (90) días calendario siguientes a la recepción por parte del Fideicomisario del Aviso de Incumplimiento, podrá proponer al Fideicomisario uno o más Subproyectos que se espera que generen individual o acumulativamente al menos el volumen de ER por año de operación indicado en este Acuerdo ("Subproyectos de Cumplimiento")”.</w:t>
            </w:r>
          </w:p>
        </w:tc>
      </w:tr>
      <w:tr w:rsidR="00DF69A5" w:rsidRPr="00152290" w14:paraId="6AE5E821" w14:textId="77777777" w:rsidTr="00DF69A5">
        <w:tc>
          <w:tcPr>
            <w:tcW w:w="1838" w:type="dxa"/>
          </w:tcPr>
          <w:p w14:paraId="34879B51" w14:textId="363A61C0"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t xml:space="preserve">ARTÍCULO IX Operación y Gestión del Programa ISFL ER </w:t>
            </w:r>
            <w:r w:rsidRPr="007B2C44">
              <w:rPr>
                <w:rFonts w:ascii="Verdana" w:hAnsi="Verdana" w:cs="Arial"/>
                <w:b/>
                <w:bCs/>
                <w:sz w:val="16"/>
                <w:szCs w:val="16"/>
                <w:lang w:eastAsia="es-ES"/>
              </w:rPr>
              <w:t>Sección 9.05</w:t>
            </w:r>
            <w:r w:rsidRPr="007B2C44">
              <w:rPr>
                <w:rFonts w:ascii="Verdana" w:hAnsi="Verdana" w:cs="Arial"/>
                <w:sz w:val="16"/>
                <w:szCs w:val="16"/>
                <w:lang w:eastAsia="es-ES"/>
              </w:rPr>
              <w:t xml:space="preserve"> Inventario de Subproyectos (a):</w:t>
            </w:r>
          </w:p>
        </w:tc>
        <w:tc>
          <w:tcPr>
            <w:tcW w:w="7229" w:type="dxa"/>
          </w:tcPr>
          <w:p w14:paraId="78FA8814" w14:textId="77777777"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“La Entidad del Programa deberá mantener en todo momento un inventario que enumere todos los Subproyectos incluidos en el Programa ISFL ER ("Inventario de Subproyectos"), incluida una identificación de dichos Subproyectos incluidos en el Programa ISFL ER”.</w:t>
            </w:r>
          </w:p>
          <w:p w14:paraId="3BE7ECB4" w14:textId="77777777" w:rsidR="00DF69A5" w:rsidRPr="007B2C44" w:rsidRDefault="00DF69A5" w:rsidP="00AB67A3">
            <w:pPr>
              <w:spacing w:after="240" w:line="276" w:lineRule="auto"/>
              <w:jc w:val="both"/>
              <w:rPr>
                <w:rFonts w:ascii="Verdana" w:hAnsi="Verdana" w:cs="Arial"/>
                <w:sz w:val="16"/>
                <w:szCs w:val="16"/>
                <w:lang w:eastAsia="es-ES"/>
              </w:rPr>
            </w:pPr>
          </w:p>
          <w:p w14:paraId="515E3D47" w14:textId="577F3868"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sz w:val="16"/>
                <w:szCs w:val="16"/>
                <w:lang w:eastAsia="es-ES"/>
              </w:rPr>
              <w:t>Lo anterior, en los términos de los literales b y c de la Sección 9.05.</w:t>
            </w:r>
          </w:p>
        </w:tc>
      </w:tr>
      <w:tr w:rsidR="00DF69A5" w:rsidRPr="00152290" w14:paraId="631D9BFE" w14:textId="77777777" w:rsidTr="00DF69A5">
        <w:tc>
          <w:tcPr>
            <w:tcW w:w="1838" w:type="dxa"/>
          </w:tcPr>
          <w:p w14:paraId="11073061" w14:textId="102F61C7"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lastRenderedPageBreak/>
              <w:t xml:space="preserve">ARTÍCULO X Comunicación </w:t>
            </w:r>
            <w:r w:rsidRPr="007B2C44">
              <w:rPr>
                <w:rFonts w:ascii="Verdana" w:hAnsi="Verdana" w:cs="Arial"/>
                <w:b/>
                <w:bCs/>
                <w:sz w:val="16"/>
                <w:szCs w:val="16"/>
                <w:lang w:eastAsia="es-ES"/>
              </w:rPr>
              <w:t>Sección 10.01</w:t>
            </w:r>
            <w:r w:rsidRPr="007B2C44">
              <w:rPr>
                <w:rFonts w:ascii="Verdana" w:hAnsi="Verdana" w:cs="Arial"/>
                <w:sz w:val="16"/>
                <w:szCs w:val="16"/>
                <w:lang w:eastAsia="es-ES"/>
              </w:rPr>
              <w:t xml:space="preserve"> Comunicación con respecto a los ER (a):</w:t>
            </w:r>
          </w:p>
        </w:tc>
        <w:tc>
          <w:tcPr>
            <w:tcW w:w="7229" w:type="dxa"/>
          </w:tcPr>
          <w:p w14:paraId="5BD7AC6A" w14:textId="0006B071"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 xml:space="preserve">“A menos que se acuerde lo contrario en el </w:t>
            </w:r>
            <w:r w:rsidRPr="007B2C44">
              <w:rPr>
                <w:rFonts w:ascii="Verdana" w:hAnsi="Verdana" w:cs="Arial"/>
                <w:i/>
                <w:iCs/>
                <w:sz w:val="16"/>
                <w:szCs w:val="16"/>
                <w:u w:val="single"/>
                <w:lang w:eastAsia="es-ES"/>
              </w:rPr>
              <w:t>Acuerdo Marco ERPA</w:t>
            </w:r>
            <w:r w:rsidRPr="007B2C44">
              <w:rPr>
                <w:rFonts w:ascii="Verdana" w:hAnsi="Verdana" w:cs="Arial"/>
                <w:i/>
                <w:iCs/>
                <w:sz w:val="16"/>
                <w:szCs w:val="16"/>
                <w:lang w:eastAsia="es-ES"/>
              </w:rPr>
              <w:t xml:space="preserve"> o en cualquier Acuerdo de Fase ERPA, el Fideicomisario y la Entidad del Programa actuarán como Puntos Focales conjuntos, aunque el Fideicomisario no será responsable de ninguna pérdida o daño causado a la Entidad del Programa o a cualquier Tercero como resultado de cualquier acto u omisión con respecto a dichas comunicaciones, a menos que dicha pérdida o daño haya sido causado por un Incumplimiento Intencional del Fideicomisario.”</w:t>
            </w:r>
          </w:p>
        </w:tc>
      </w:tr>
      <w:tr w:rsidR="00DF69A5" w:rsidRPr="00152290" w14:paraId="1787786D" w14:textId="77777777" w:rsidTr="00DF69A5">
        <w:tc>
          <w:tcPr>
            <w:tcW w:w="1838" w:type="dxa"/>
          </w:tcPr>
          <w:p w14:paraId="0643FCB5" w14:textId="452F2BC1"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t xml:space="preserve">ARTÍCULO XI Búfer ISFL </w:t>
            </w:r>
            <w:r w:rsidRPr="007B2C44">
              <w:rPr>
                <w:rFonts w:ascii="Verdana" w:hAnsi="Verdana" w:cs="Arial"/>
                <w:b/>
                <w:bCs/>
                <w:sz w:val="16"/>
                <w:szCs w:val="16"/>
                <w:lang w:eastAsia="es-ES"/>
              </w:rPr>
              <w:t>Sección 11.01</w:t>
            </w:r>
            <w:r w:rsidRPr="007B2C44">
              <w:rPr>
                <w:rFonts w:ascii="Verdana" w:hAnsi="Verdana" w:cs="Arial"/>
                <w:sz w:val="16"/>
                <w:szCs w:val="16"/>
                <w:lang w:eastAsia="es-ES"/>
              </w:rPr>
              <w:t xml:space="preserve"> Establecimiento y gestión de la zona de amortiguamiento de la ISFL (a):</w:t>
            </w:r>
          </w:p>
        </w:tc>
        <w:tc>
          <w:tcPr>
            <w:tcW w:w="7229" w:type="dxa"/>
          </w:tcPr>
          <w:p w14:paraId="3C2E312D" w14:textId="77777777"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“Las Partes establecerán un Buffer ISFL que será administrado por el Administrador del Buffer de conformidad con estas Condiciones Generales y los Requisitos del Buffer ISFL”.</w:t>
            </w:r>
          </w:p>
          <w:p w14:paraId="3FBB7C12" w14:textId="77777777" w:rsidR="00DF69A5" w:rsidRPr="007B2C44" w:rsidRDefault="00DF69A5" w:rsidP="00AB67A3">
            <w:pPr>
              <w:spacing w:after="240" w:line="276" w:lineRule="auto"/>
              <w:jc w:val="both"/>
              <w:rPr>
                <w:rFonts w:ascii="Verdana" w:hAnsi="Verdana" w:cs="Arial"/>
                <w:i/>
                <w:iCs/>
                <w:sz w:val="16"/>
                <w:szCs w:val="16"/>
                <w:lang w:eastAsia="es-ES"/>
              </w:rPr>
            </w:pPr>
          </w:p>
          <w:p w14:paraId="79426D76" w14:textId="2C2A45DE"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sz w:val="16"/>
                <w:szCs w:val="16"/>
                <w:lang w:eastAsia="es-ES"/>
              </w:rPr>
              <w:t>Y ambas partes cooperarán de conformidad con el literal b de la Sección 11.01.</w:t>
            </w:r>
          </w:p>
        </w:tc>
      </w:tr>
      <w:tr w:rsidR="00DF69A5" w:rsidRPr="00152290" w14:paraId="47BBE25B" w14:textId="77777777" w:rsidTr="00DF69A5">
        <w:tc>
          <w:tcPr>
            <w:tcW w:w="1838" w:type="dxa"/>
          </w:tcPr>
          <w:p w14:paraId="4323B647" w14:textId="35992AA2"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t xml:space="preserve">ARTÍCULO XI Búfer ISFL </w:t>
            </w:r>
            <w:r w:rsidRPr="007B2C44">
              <w:rPr>
                <w:rFonts w:ascii="Verdana" w:hAnsi="Verdana" w:cs="Arial"/>
                <w:b/>
                <w:bCs/>
                <w:sz w:val="16"/>
                <w:szCs w:val="16"/>
                <w:lang w:eastAsia="es-ES"/>
              </w:rPr>
              <w:t>Sección 11.02</w:t>
            </w:r>
            <w:r w:rsidRPr="007B2C44">
              <w:rPr>
                <w:rFonts w:ascii="Verdana" w:hAnsi="Verdana" w:cs="Arial"/>
                <w:sz w:val="16"/>
                <w:szCs w:val="16"/>
                <w:lang w:eastAsia="es-ES"/>
              </w:rPr>
              <w:t xml:space="preserve"> Riesgos de Reversión (a):</w:t>
            </w:r>
          </w:p>
        </w:tc>
        <w:tc>
          <w:tcPr>
            <w:tcW w:w="7229" w:type="dxa"/>
          </w:tcPr>
          <w:p w14:paraId="4C14A2F9" w14:textId="41BB5344"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“La Entidad del Programa utilizará el Buffer ISFL para gestionar los Riesgos de Reversión bajo el Programa ISFL ER durante el Plazo.”</w:t>
            </w:r>
          </w:p>
        </w:tc>
      </w:tr>
      <w:tr w:rsidR="00DF69A5" w:rsidRPr="00152290" w14:paraId="69656A33" w14:textId="77777777" w:rsidTr="00DF69A5">
        <w:tc>
          <w:tcPr>
            <w:tcW w:w="1838" w:type="dxa"/>
          </w:tcPr>
          <w:p w14:paraId="0DE789A4" w14:textId="5C526950"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t xml:space="preserve">ARTÍCULO XI Búfer ISFL </w:t>
            </w:r>
            <w:r w:rsidRPr="007B2C44">
              <w:rPr>
                <w:rFonts w:ascii="Verdana" w:hAnsi="Verdana" w:cs="Arial"/>
                <w:b/>
                <w:bCs/>
                <w:sz w:val="16"/>
                <w:szCs w:val="16"/>
                <w:lang w:eastAsia="es-ES"/>
              </w:rPr>
              <w:t>Sección 11.02</w:t>
            </w:r>
            <w:r w:rsidRPr="007B2C44">
              <w:rPr>
                <w:rFonts w:ascii="Verdana" w:hAnsi="Verdana" w:cs="Arial"/>
                <w:sz w:val="16"/>
                <w:szCs w:val="16"/>
                <w:lang w:eastAsia="es-ES"/>
              </w:rPr>
              <w:t xml:space="preserve"> Riesgos de Reversión (b):</w:t>
            </w:r>
          </w:p>
        </w:tc>
        <w:tc>
          <w:tcPr>
            <w:tcW w:w="7229" w:type="dxa"/>
          </w:tcPr>
          <w:p w14:paraId="0697FE1F" w14:textId="24DEDBEA"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“Durante el Plazo, la Entidad del Programa aplicará y garantizará que cada Entidad del Subproyecto aplicará todas las medidas razonables para prevenir la ocurrencia de cualquier Evento de Reversión, no causar, ayudar a causar, tolerar o autorizar la ocurrencia de cualquier Evento de Reversión y, si ocurre un Evento de Reversión, emprenderá, en consulta con el Fideicomisario, todas las medidas razonables para minimizar y mitigar el efecto adverso de dicho(s) evento(s) en el Programa ISFL ER y/o el desempeño de la Entidad del Programa de sus obligaciones bajo el Acuerdo Marco ERPA y cualquier Acuerdo de Fase ERPA.”</w:t>
            </w:r>
          </w:p>
        </w:tc>
      </w:tr>
      <w:tr w:rsidR="00DF69A5" w:rsidRPr="00152290" w14:paraId="58ACD8C1" w14:textId="77777777" w:rsidTr="00DF69A5">
        <w:tc>
          <w:tcPr>
            <w:tcW w:w="1838" w:type="dxa"/>
          </w:tcPr>
          <w:p w14:paraId="72A82228" w14:textId="74C73FD8"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t xml:space="preserve">ARTÍCULO XI Búfer ISFL </w:t>
            </w:r>
            <w:r w:rsidRPr="007B2C44">
              <w:rPr>
                <w:rFonts w:ascii="Verdana" w:hAnsi="Verdana" w:cs="Arial"/>
                <w:b/>
                <w:bCs/>
                <w:sz w:val="16"/>
                <w:szCs w:val="16"/>
                <w:lang w:eastAsia="es-ES"/>
              </w:rPr>
              <w:t>Sección 11.02</w:t>
            </w:r>
            <w:r w:rsidRPr="007B2C44">
              <w:rPr>
                <w:rFonts w:ascii="Verdana" w:hAnsi="Verdana" w:cs="Arial"/>
                <w:sz w:val="16"/>
                <w:szCs w:val="16"/>
                <w:lang w:eastAsia="es-ES"/>
              </w:rPr>
              <w:t xml:space="preserve"> Riesgos de Reversión (c):</w:t>
            </w:r>
          </w:p>
        </w:tc>
        <w:tc>
          <w:tcPr>
            <w:tcW w:w="7229" w:type="dxa"/>
          </w:tcPr>
          <w:p w14:paraId="37334D7F" w14:textId="3251503E"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“La Entidad del Programa informará al Fideicomisario sobre un Evento de Reversión dentro de los noventa (90) días calendario siguientes a su conocimiento. La ocurrencia de un Evento de Reversión se identificará de acuerdo con el Plan de Monitoreo de ER y se reportará como parte del Informe de Monitoreo de ER. En caso de desacuerdo entre la Entidad del Programa y el Fideicomisario sobre la ocurrencia, la causa o el alcance de un Evento de Reversión, si así lo solicita el Fideicomisario Fiduciario, la ocurrencia, causa y/o alcance de un Evento de Reversión deberá ser evaluado y Verificado por un Revisor Independiente.”</w:t>
            </w:r>
          </w:p>
        </w:tc>
      </w:tr>
      <w:tr w:rsidR="00DF69A5" w:rsidRPr="00152290" w14:paraId="5BD91E57" w14:textId="77777777" w:rsidTr="00DF69A5">
        <w:tc>
          <w:tcPr>
            <w:tcW w:w="1838" w:type="dxa"/>
          </w:tcPr>
          <w:p w14:paraId="7A0442BF" w14:textId="4D335F9B"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t xml:space="preserve">ARTÍCULO XI Búfer ISFL </w:t>
            </w:r>
            <w:r w:rsidRPr="007B2C44">
              <w:rPr>
                <w:rFonts w:ascii="Verdana" w:hAnsi="Verdana" w:cs="Arial"/>
                <w:b/>
                <w:bCs/>
                <w:sz w:val="16"/>
                <w:szCs w:val="16"/>
                <w:lang w:eastAsia="es-ES"/>
              </w:rPr>
              <w:t>Sección 11.04</w:t>
            </w:r>
            <w:r w:rsidRPr="007B2C44">
              <w:rPr>
                <w:rFonts w:ascii="Verdana" w:hAnsi="Verdana" w:cs="Arial"/>
                <w:sz w:val="16"/>
                <w:szCs w:val="16"/>
                <w:lang w:eastAsia="es-ES"/>
              </w:rPr>
              <w:t xml:space="preserve"> Mecanismo de gestión de reversión de fin de plazo y post-ERPA (b):</w:t>
            </w:r>
          </w:p>
        </w:tc>
        <w:tc>
          <w:tcPr>
            <w:tcW w:w="7229" w:type="dxa"/>
          </w:tcPr>
          <w:p w14:paraId="1081830A" w14:textId="23A7157F"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 xml:space="preserve">“A más tardar un (1) año antes del final del Plazo, la Entidad del Programa deberá contar con un mecanismo sólido, en forma y fondo satisfactorios para el Fideicomisario, que le permita continuar gestionando cualquier posible riesgo de reversión en el marco del Programa de ER de ISFL más allá del Plazo (“Mecanismo de Gestión de Reversión Post-ERPA”). En caso de que dicho Mecanismo de Gestión de Reversión Post-ERPA incluya una reserva de colchón u otro mecanismo que utilice ER del Programa de ER de ISFL para gestionar los riesgos de reversión, el Fideicomisario, a solicitud de la Entidad del Programa, transferirá o permitirá la transferencia de las ER restantes del Colchón que se hayan transferido y depositado en el Colchón de ISFL para cubrir los Riesgos de Reversión, según lo determinado de acuerdo con los Requisitos del Colchón de ISFL, a una cuenta de registro de dicho mecanismo en el marco del Mecanismo de Gestión de Reversión Post-ERPA designado por la Entidad del Programa. En caso de que no se implemente un Mecanismo de Gestión de Reversión Post-ERPA un (1) año antes del final del Plazo, y a menos que las Partes acuerden lo contrario, todas las ER restantes </w:t>
            </w:r>
            <w:r w:rsidRPr="007B2C44">
              <w:rPr>
                <w:rFonts w:ascii="Verdana" w:hAnsi="Verdana" w:cs="Arial"/>
                <w:i/>
                <w:iCs/>
                <w:sz w:val="16"/>
                <w:szCs w:val="16"/>
                <w:lang w:eastAsia="es-ES"/>
              </w:rPr>
              <w:lastRenderedPageBreak/>
              <w:t>del Buffer que se hayan transferido y depositado en el Buffer ISFL para cubrir los Riesgos de Reversión serán canceladas.”</w:t>
            </w:r>
          </w:p>
        </w:tc>
      </w:tr>
      <w:tr w:rsidR="00DF69A5" w:rsidRPr="00152290" w14:paraId="7D52C97F" w14:textId="77777777" w:rsidTr="00DF69A5">
        <w:tc>
          <w:tcPr>
            <w:tcW w:w="1838" w:type="dxa"/>
          </w:tcPr>
          <w:p w14:paraId="336DE685" w14:textId="1D755A51"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lastRenderedPageBreak/>
              <w:t xml:space="preserve">ARTÍCULO XII Eventos de Fuerza Mayor </w:t>
            </w:r>
            <w:r w:rsidRPr="007B2C44">
              <w:rPr>
                <w:rFonts w:ascii="Verdana" w:hAnsi="Verdana" w:cs="Arial"/>
                <w:b/>
                <w:bCs/>
                <w:sz w:val="16"/>
                <w:szCs w:val="16"/>
                <w:lang w:eastAsia="es-ES"/>
              </w:rPr>
              <w:t>Sección 12.02</w:t>
            </w:r>
            <w:r w:rsidRPr="007B2C44">
              <w:rPr>
                <w:rFonts w:ascii="Verdana" w:hAnsi="Verdana" w:cs="Arial"/>
                <w:sz w:val="16"/>
                <w:szCs w:val="16"/>
                <w:lang w:eastAsia="es-ES"/>
              </w:rPr>
              <w:t xml:space="preserve"> Efecto del Evento de Fuerza Mayor (c):</w:t>
            </w:r>
          </w:p>
        </w:tc>
        <w:tc>
          <w:tcPr>
            <w:tcW w:w="7229" w:type="dxa"/>
          </w:tcPr>
          <w:p w14:paraId="24989955" w14:textId="63DD0763"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“Si la Entidad del Programa no transfiere las ER del Contrato debido a un Evento de Fuerza Mayor, entonces:</w:t>
            </w:r>
          </w:p>
          <w:p w14:paraId="0D3F1B14" w14:textId="77777777"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(i) el Volumen Máximo de Opción de Compra se incrementará en la cantidad de ER que la Entidad del Programa no haya transferido como resultado del Evento de Fuerza Mayor; y</w:t>
            </w:r>
          </w:p>
          <w:p w14:paraId="1A3139E9" w14:textId="3B5F2CDB"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w:t>
            </w:r>
            <w:proofErr w:type="spellStart"/>
            <w:r w:rsidRPr="007B2C44">
              <w:rPr>
                <w:rFonts w:ascii="Verdana" w:hAnsi="Verdana" w:cs="Arial"/>
                <w:i/>
                <w:iCs/>
                <w:sz w:val="16"/>
                <w:szCs w:val="16"/>
                <w:lang w:eastAsia="es-ES"/>
              </w:rPr>
              <w:t>ii</w:t>
            </w:r>
            <w:proofErr w:type="spellEnd"/>
            <w:r w:rsidRPr="007B2C44">
              <w:rPr>
                <w:rFonts w:ascii="Verdana" w:hAnsi="Verdana" w:cs="Arial"/>
                <w:i/>
                <w:iCs/>
                <w:sz w:val="16"/>
                <w:szCs w:val="16"/>
                <w:lang w:eastAsia="es-ES"/>
              </w:rPr>
              <w:t>) el precio que deberá pagar el Fiduciario por las ER a las que se refiere el inciso (i) como ER Adicionales será la modalidad de precio del Precio Unitario correspondiente a la modalidad de precio del Precio de Ejercicio.”</w:t>
            </w:r>
          </w:p>
        </w:tc>
      </w:tr>
      <w:tr w:rsidR="00DF69A5" w:rsidRPr="00152290" w14:paraId="202741AF" w14:textId="77777777" w:rsidTr="00DF69A5">
        <w:tc>
          <w:tcPr>
            <w:tcW w:w="1838" w:type="dxa"/>
          </w:tcPr>
          <w:p w14:paraId="6C090DF0" w14:textId="28756EFA"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t xml:space="preserve">ARTÍCULO XIII Declaraciones, Garantías y Convenios </w:t>
            </w:r>
            <w:r w:rsidRPr="007B2C44">
              <w:rPr>
                <w:rFonts w:ascii="Verdana" w:hAnsi="Verdana" w:cs="Arial"/>
                <w:b/>
                <w:bCs/>
                <w:sz w:val="16"/>
                <w:szCs w:val="16"/>
                <w:lang w:eastAsia="es-ES"/>
              </w:rPr>
              <w:t>Sección 13.01</w:t>
            </w:r>
            <w:r w:rsidRPr="007B2C44">
              <w:rPr>
                <w:rFonts w:ascii="Verdana" w:hAnsi="Verdana" w:cs="Arial"/>
                <w:sz w:val="16"/>
                <w:szCs w:val="16"/>
                <w:lang w:eastAsia="es-ES"/>
              </w:rPr>
              <w:t xml:space="preserve"> General:</w:t>
            </w:r>
          </w:p>
        </w:tc>
        <w:tc>
          <w:tcPr>
            <w:tcW w:w="7229" w:type="dxa"/>
          </w:tcPr>
          <w:p w14:paraId="78C4D923" w14:textId="77777777"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“Cada Parte declara y garantiza a la otra Parte que:</w:t>
            </w:r>
          </w:p>
          <w:p w14:paraId="32CB0B74" w14:textId="77777777"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(a) la persona que firma el Acuerdo Marco del ERPA y cualquier Acuerdo de Fase del ERPA en nombre de dicha Parte ha sido debidamente autorizada para firmar dichos acuerdos como representante y en nombre de dicha Parte, y que el Acuerdo Marco del ERPA y cualquier Acuerdo de Fase del ERPA constituyen obligaciones legales, válidas y vinculantes para dicha Parte, exigibles contra ella de conformidad con sus términos;</w:t>
            </w:r>
          </w:p>
          <w:p w14:paraId="32831EA8" w14:textId="77777777"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(b) la ejecución, entrega y cumplimiento del Acuerdo Marco del ERPA y cualquier Acuerdo de Fase del ERPA se encuentran dentro de sus competencias, han sido debidamente autorizados mediante todas las acciones necesarias y no violan, entran en conflicto ni requieren consentimiento o renuncia en virtud de ninguno de sus documentos constitutivos ni de ningún contrato sustancial del que sea parte o al que esté sujeto ella o alguno de sus activos, ni de ninguna ley, reglamento o permiso que le sea aplicable; y</w:t>
            </w:r>
          </w:p>
          <w:p w14:paraId="32689352" w14:textId="45975115"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(c) ha adoptado todas las medidas necesarias para autorizar la celebración, el cumplimiento y la ejecución de sus obligaciones en virtud del Acuerdo Marco ERPA y de cualquier Acuerdo de Fase ERPA.”</w:t>
            </w:r>
          </w:p>
        </w:tc>
      </w:tr>
      <w:tr w:rsidR="00DF69A5" w:rsidRPr="00152290" w14:paraId="38448910" w14:textId="77777777" w:rsidTr="00DF69A5">
        <w:tc>
          <w:tcPr>
            <w:tcW w:w="1838" w:type="dxa"/>
          </w:tcPr>
          <w:p w14:paraId="1D0FA8C6" w14:textId="582148EC"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t xml:space="preserve">ARTÍCULO XIII Declaraciones, Garantías y Convenios </w:t>
            </w:r>
            <w:r w:rsidRPr="007B2C44">
              <w:rPr>
                <w:rFonts w:ascii="Verdana" w:hAnsi="Verdana" w:cs="Arial"/>
                <w:b/>
                <w:bCs/>
                <w:sz w:val="16"/>
                <w:szCs w:val="16"/>
                <w:lang w:eastAsia="es-ES"/>
              </w:rPr>
              <w:t>Sección 13.02</w:t>
            </w:r>
            <w:r w:rsidRPr="007B2C44">
              <w:rPr>
                <w:rFonts w:ascii="Verdana" w:hAnsi="Verdana" w:cs="Arial"/>
                <w:sz w:val="16"/>
                <w:szCs w:val="16"/>
                <w:lang w:eastAsia="es-ES"/>
              </w:rPr>
              <w:t xml:space="preserve"> Declaraciones y Garantías de la Entidad del Programa (a):</w:t>
            </w:r>
          </w:p>
        </w:tc>
        <w:tc>
          <w:tcPr>
            <w:tcW w:w="7229" w:type="dxa"/>
          </w:tcPr>
          <w:p w14:paraId="7CCA715E" w14:textId="01BAB9C2"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“La Entidad del Programa declara y garantiza, a la fecha del Acuerdo Marco del ERPA y de cualquier Acuerdo de Fase del ERPA, y nuevamente tras la presentación de los ER y de cualquier Transferencia de ER, que: (a) es una entidad financieramente viable y no es insolvente ni corre riesgo de insolvencia;”</w:t>
            </w:r>
          </w:p>
        </w:tc>
      </w:tr>
      <w:tr w:rsidR="00DF69A5" w:rsidRPr="00152290" w14:paraId="6616723D" w14:textId="77777777" w:rsidTr="00DF69A5">
        <w:tc>
          <w:tcPr>
            <w:tcW w:w="1838" w:type="dxa"/>
          </w:tcPr>
          <w:p w14:paraId="1073447B" w14:textId="4E79A401"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t xml:space="preserve">ARTÍCULO XIII Declaraciones, Garantías y Convenios </w:t>
            </w:r>
            <w:r w:rsidRPr="007B2C44">
              <w:rPr>
                <w:rFonts w:ascii="Verdana" w:hAnsi="Verdana" w:cs="Arial"/>
                <w:b/>
                <w:bCs/>
                <w:sz w:val="16"/>
                <w:szCs w:val="16"/>
                <w:lang w:eastAsia="es-ES"/>
              </w:rPr>
              <w:t>Sección 13.02</w:t>
            </w:r>
            <w:r w:rsidRPr="007B2C44">
              <w:rPr>
                <w:rFonts w:ascii="Verdana" w:hAnsi="Verdana" w:cs="Arial"/>
                <w:sz w:val="16"/>
                <w:szCs w:val="16"/>
                <w:lang w:eastAsia="es-ES"/>
              </w:rPr>
              <w:t xml:space="preserve"> Declaraciones y Garantías de la </w:t>
            </w:r>
            <w:r w:rsidRPr="007B2C44">
              <w:rPr>
                <w:rFonts w:ascii="Verdana" w:hAnsi="Verdana" w:cs="Arial"/>
                <w:sz w:val="16"/>
                <w:szCs w:val="16"/>
                <w:lang w:eastAsia="es-ES"/>
              </w:rPr>
              <w:lastRenderedPageBreak/>
              <w:t>Entidad del Programa (b):</w:t>
            </w:r>
          </w:p>
        </w:tc>
        <w:tc>
          <w:tcPr>
            <w:tcW w:w="7229" w:type="dxa"/>
          </w:tcPr>
          <w:p w14:paraId="3116D8C8" w14:textId="70C84743"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lastRenderedPageBreak/>
              <w:t>“La Entidad del Programa declara y garantiza, a la fecha del Acuerdo Marco del ERPA y de cualquier Acuerdo de Fase del ERPA, y nuevamente tras la presentación de los ER y de cualquier Transferencia de ER, que: (…) (b) toda la información proporcionada por la Entidad del Programa al Fideicomisario en relación con el Programa ISFL ER y las Medidas del Programa ISFL ER, y en particular, en el Documento del Programa ISFL ER, es veraz y correcta, y el Fideicomisario puede confiar en ella;”</w:t>
            </w:r>
          </w:p>
        </w:tc>
      </w:tr>
      <w:tr w:rsidR="00DF69A5" w:rsidRPr="00152290" w14:paraId="018FED6F" w14:textId="77777777" w:rsidTr="00DF69A5">
        <w:tc>
          <w:tcPr>
            <w:tcW w:w="1838" w:type="dxa"/>
          </w:tcPr>
          <w:p w14:paraId="483287BB" w14:textId="7BB0B414"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t xml:space="preserve">ARTÍCULO XIII Declaraciones, Garantías y Convenios </w:t>
            </w:r>
            <w:r w:rsidRPr="007B2C44">
              <w:rPr>
                <w:rFonts w:ascii="Verdana" w:hAnsi="Verdana" w:cs="Arial"/>
                <w:b/>
                <w:bCs/>
                <w:sz w:val="16"/>
                <w:szCs w:val="16"/>
                <w:lang w:eastAsia="es-ES"/>
              </w:rPr>
              <w:t>Sección 13.02</w:t>
            </w:r>
            <w:r w:rsidRPr="007B2C44">
              <w:rPr>
                <w:rFonts w:ascii="Verdana" w:hAnsi="Verdana" w:cs="Arial"/>
                <w:sz w:val="16"/>
                <w:szCs w:val="16"/>
                <w:lang w:eastAsia="es-ES"/>
              </w:rPr>
              <w:t xml:space="preserve"> Declaraciones y Garantías de la Entidad del Programa (c):</w:t>
            </w:r>
          </w:p>
        </w:tc>
        <w:tc>
          <w:tcPr>
            <w:tcW w:w="7229" w:type="dxa"/>
          </w:tcPr>
          <w:p w14:paraId="558DEA06" w14:textId="7DADB8E8"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“La Entidad del Programa declara y garantiza, a la fecha del Acuerdo Marco del ERPA y de cualquier Acuerdo de Fase del ERPA, y nuevamente tras la presentación de los ER y de cualquier Transferencia de ER, que: (…) (c) No existen acciones, demandas ni procedimientos pendientes o, según el conocimiento de la Entidad del Programa, que amenacen o afecten a la Entidad del Programa, al Programa ISFL ER o a las ER Contractuales o Adicionales ante ningún tribunal, órgano administrativo o tribunal arbitral, que razonablemente se pueda esperar que afecten de forma sustancial y adversa la capacidad de la Entidad del Programa para cumplir y llevar a cabo sus obligaciones en virtud del Acuerdo Marco ERPA y cualquier Acuerdo Fase ERPA;”</w:t>
            </w:r>
          </w:p>
        </w:tc>
      </w:tr>
      <w:tr w:rsidR="00DF69A5" w:rsidRPr="00152290" w14:paraId="42CFE2C3" w14:textId="77777777" w:rsidTr="00DF69A5">
        <w:tc>
          <w:tcPr>
            <w:tcW w:w="1838" w:type="dxa"/>
          </w:tcPr>
          <w:p w14:paraId="4937902F" w14:textId="622B58E9"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t xml:space="preserve">ARTÍCULO XIII Declaraciones, Garantías y Convenios </w:t>
            </w:r>
            <w:r w:rsidRPr="007B2C44">
              <w:rPr>
                <w:rFonts w:ascii="Verdana" w:hAnsi="Verdana" w:cs="Arial"/>
                <w:b/>
                <w:bCs/>
                <w:sz w:val="16"/>
                <w:szCs w:val="16"/>
                <w:lang w:eastAsia="es-ES"/>
              </w:rPr>
              <w:t>Sección 13.02</w:t>
            </w:r>
            <w:r w:rsidRPr="007B2C44">
              <w:rPr>
                <w:rFonts w:ascii="Verdana" w:hAnsi="Verdana" w:cs="Arial"/>
                <w:sz w:val="16"/>
                <w:szCs w:val="16"/>
                <w:lang w:eastAsia="es-ES"/>
              </w:rPr>
              <w:t xml:space="preserve"> Declaraciones y Garantías de la Entidad del Programa (d):</w:t>
            </w:r>
          </w:p>
        </w:tc>
        <w:tc>
          <w:tcPr>
            <w:tcW w:w="7229" w:type="dxa"/>
          </w:tcPr>
          <w:p w14:paraId="73A346AB" w14:textId="34F14240"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“La Entidad del Programa declara y garantiza, a la fecha del Acuerdo Marco del ERPA y de cualquier Acuerdo de Fase del ERPA, y nuevamente tras la presentación de los ER y de cualquier Transferencia de ER, que: (…) (d) no tiene contratos ni pasivos pendientes, contingentes o de otro tipo (incluidos impuestos), que razonablemente se pueda esperar que afecten de forma sustancial y adversa la capacidad de la Entidad del Programa para cumplir con sus obligaciones en virtud del Acuerdo Marco del ERPA y cualquier Acuerdo de Fase del ERPA;”</w:t>
            </w:r>
          </w:p>
        </w:tc>
      </w:tr>
      <w:tr w:rsidR="00DF69A5" w:rsidRPr="00152290" w14:paraId="195422EB" w14:textId="77777777" w:rsidTr="00DF69A5">
        <w:tc>
          <w:tcPr>
            <w:tcW w:w="1838" w:type="dxa"/>
          </w:tcPr>
          <w:p w14:paraId="002A0F14" w14:textId="3E2BD756"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t xml:space="preserve">ARTÍCULO XIII Declaraciones, Garantías y Convenios </w:t>
            </w:r>
            <w:r w:rsidRPr="007B2C44">
              <w:rPr>
                <w:rFonts w:ascii="Verdana" w:hAnsi="Verdana" w:cs="Arial"/>
                <w:b/>
                <w:bCs/>
                <w:sz w:val="16"/>
                <w:szCs w:val="16"/>
                <w:lang w:eastAsia="es-ES"/>
              </w:rPr>
              <w:t>Sección 13.02</w:t>
            </w:r>
            <w:r w:rsidRPr="007B2C44">
              <w:rPr>
                <w:rFonts w:ascii="Verdana" w:hAnsi="Verdana" w:cs="Arial"/>
                <w:sz w:val="16"/>
                <w:szCs w:val="16"/>
                <w:lang w:eastAsia="es-ES"/>
              </w:rPr>
              <w:t xml:space="preserve"> Declaraciones y Garantías de la Entidad del Programa (e):</w:t>
            </w:r>
          </w:p>
        </w:tc>
        <w:tc>
          <w:tcPr>
            <w:tcW w:w="7229" w:type="dxa"/>
          </w:tcPr>
          <w:p w14:paraId="68911448" w14:textId="35617B62"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“La Entidad del Programa declara y garantiza, a la fecha del Acuerdo Marco del ERPA y de cualquier Acuerdo de Fase del ERPA, y nuevamente tras la presentación de los ER y de cualquier Transferencia de ER, que: (…) (e) según el leal saber y entender de la Entidad del Programa, no existe ningún litigio pendiente ni amenaza de litigio contra la Entidad del Programa en relación con el Programa ER de la ISFL que pueda afectar de forma sustancial y adversa la capacidad de la Entidad del Programa para cumplir con sus obligaciones en virtud del Acuerdo Marco del ERPA y cualquier Acuerdo de Fase del ERPA;”</w:t>
            </w:r>
          </w:p>
        </w:tc>
      </w:tr>
      <w:tr w:rsidR="00DF69A5" w:rsidRPr="00152290" w14:paraId="054BFDCC" w14:textId="77777777" w:rsidTr="00DF69A5">
        <w:tc>
          <w:tcPr>
            <w:tcW w:w="1838" w:type="dxa"/>
          </w:tcPr>
          <w:p w14:paraId="17D7B0BD" w14:textId="3D27CEC9"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t xml:space="preserve">ARTÍCULO XIII Declaraciones, Garantías y Convenios </w:t>
            </w:r>
            <w:r w:rsidRPr="007B2C44">
              <w:rPr>
                <w:rFonts w:ascii="Verdana" w:hAnsi="Verdana" w:cs="Arial"/>
                <w:b/>
                <w:bCs/>
                <w:sz w:val="16"/>
                <w:szCs w:val="16"/>
                <w:lang w:eastAsia="es-ES"/>
              </w:rPr>
              <w:t>Sección 13.02</w:t>
            </w:r>
            <w:r w:rsidRPr="007B2C44">
              <w:rPr>
                <w:rFonts w:ascii="Verdana" w:hAnsi="Verdana" w:cs="Arial"/>
                <w:sz w:val="16"/>
                <w:szCs w:val="16"/>
                <w:lang w:eastAsia="es-ES"/>
              </w:rPr>
              <w:t xml:space="preserve"> Declaraciones y Garantías de la Entidad del Programa (f):</w:t>
            </w:r>
          </w:p>
        </w:tc>
        <w:tc>
          <w:tcPr>
            <w:tcW w:w="7229" w:type="dxa"/>
          </w:tcPr>
          <w:p w14:paraId="48A3F5D6" w14:textId="3A222874"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“La Entidad del Programa declara y garantiza, a la fecha del Acuerdo Marco del ERPA y de cualquier Acuerdo de Fase del ERPA, y nuevamente tras la presentación de los ER y de cualquier Transferencia de ER, que: (…) (f) no ha vendido, transferido, cedido, licenciado, enajenado, otorgado ni creado de otro modo ningún interés en las ER Contractuales, las ER Adicionales o las ER de Reserva generadas por el Programa ER de la ISFL y las Medidas del Programa ER de la ISFL a ningún tercero, salvo de conformidad con el Acuerdo Marco del ERPA, cualquier Acuerdo de Fase del ERPA y los Requisitos de Reserva de la ISFL;”</w:t>
            </w:r>
          </w:p>
        </w:tc>
      </w:tr>
      <w:tr w:rsidR="00DF69A5" w:rsidRPr="00152290" w14:paraId="53AE810B" w14:textId="77777777" w:rsidTr="00DF69A5">
        <w:tc>
          <w:tcPr>
            <w:tcW w:w="1838" w:type="dxa"/>
          </w:tcPr>
          <w:p w14:paraId="4F542179" w14:textId="04A8C0AE"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t xml:space="preserve">ARTÍCULO XIII Declaraciones, Garantías y Convenios </w:t>
            </w:r>
            <w:r w:rsidRPr="007B2C44">
              <w:rPr>
                <w:rFonts w:ascii="Verdana" w:hAnsi="Verdana" w:cs="Arial"/>
                <w:b/>
                <w:bCs/>
                <w:sz w:val="16"/>
                <w:szCs w:val="16"/>
                <w:lang w:eastAsia="es-ES"/>
              </w:rPr>
              <w:t>Sección 13.02</w:t>
            </w:r>
            <w:r w:rsidRPr="007B2C44">
              <w:rPr>
                <w:rFonts w:ascii="Verdana" w:hAnsi="Verdana" w:cs="Arial"/>
                <w:sz w:val="16"/>
                <w:szCs w:val="16"/>
                <w:lang w:eastAsia="es-ES"/>
              </w:rPr>
              <w:t xml:space="preserve"> Declaraciones y Garantías de la Entidad del Programa (g):</w:t>
            </w:r>
          </w:p>
        </w:tc>
        <w:tc>
          <w:tcPr>
            <w:tcW w:w="7229" w:type="dxa"/>
          </w:tcPr>
          <w:p w14:paraId="6994F8CB" w14:textId="778BD6F7"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“La Entidad del Programa declara y garantiza, a la fecha del Acuerdo Marco del ERPA y de cualquier Acuerdo de Fase del ERPA, y nuevamente tras la presentación de los ER y de cualquier Transferencia de ER, que: (…) (g) no ha incurrido, y según su leal saber y entender (tras la debida diligencia e investigación de conformidad con las prácticas y políticas de empleo, gestión y supervisión que razonablemente se esperarían de una persona con reputación internacional que participe en el mismo tipo de proyecto que el Programa), ninguno de sus accionistas, directores, funcionarios, empleados, agentes, afiliados ni ninguna Entidad del Subproyecto ha incurrido en ninguna Práctica Sancionable.”</w:t>
            </w:r>
          </w:p>
        </w:tc>
      </w:tr>
      <w:tr w:rsidR="00DF69A5" w:rsidRPr="00152290" w14:paraId="5781142B" w14:textId="77777777" w:rsidTr="00DF69A5">
        <w:tc>
          <w:tcPr>
            <w:tcW w:w="1838" w:type="dxa"/>
          </w:tcPr>
          <w:p w14:paraId="68997795" w14:textId="5338A436"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lastRenderedPageBreak/>
              <w:t xml:space="preserve">ARTÍCULO XIII Declaraciones, Garantías y Convenios </w:t>
            </w:r>
            <w:r w:rsidRPr="007B2C44">
              <w:rPr>
                <w:rFonts w:ascii="Verdana" w:hAnsi="Verdana" w:cs="Arial"/>
                <w:b/>
                <w:bCs/>
                <w:sz w:val="16"/>
                <w:szCs w:val="16"/>
                <w:lang w:eastAsia="es-ES"/>
              </w:rPr>
              <w:t>Sección 13.03</w:t>
            </w:r>
            <w:r w:rsidRPr="007B2C44">
              <w:rPr>
                <w:rFonts w:ascii="Verdana" w:hAnsi="Verdana" w:cs="Arial"/>
                <w:sz w:val="16"/>
                <w:szCs w:val="16"/>
                <w:lang w:eastAsia="es-ES"/>
              </w:rPr>
              <w:t xml:space="preserve"> Declaraciones y Garantías del Subproyecto (a):</w:t>
            </w:r>
          </w:p>
        </w:tc>
        <w:tc>
          <w:tcPr>
            <w:tcW w:w="7229" w:type="dxa"/>
          </w:tcPr>
          <w:p w14:paraId="4600522C" w14:textId="77777777"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“Además de las declaraciones y garantías realizadas por la Entidad del Programa en la Sección 13.02, la Entidad del Programa declara y garantiza con respecto a cada Subproyecto, a partir de la fecha del Acuerdo Marco ERPA y cualquier Acuerdo de Fase ERPA, y nuevamente tras la producción de los ER y cualquier Transferencia de ER, que: (i) Según el leal saber y entender de la Entidad del Programa, no existe ningún litigio pendiente ni amenaza de litigio contra la Entidad del Subproyecto en relación con el Subproyecto que pudiera afectar de forma sustancial y adversa la capacidad de la Entidad del Programa para cumplir con sus obligaciones en virtud del Acuerdo Marco del ERPA y cualquier Acuerdo de Fase del ERPA;</w:t>
            </w:r>
          </w:p>
          <w:p w14:paraId="155D2F9D" w14:textId="77777777"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w:t>
            </w:r>
            <w:proofErr w:type="spellStart"/>
            <w:r w:rsidRPr="007B2C44">
              <w:rPr>
                <w:rFonts w:ascii="Verdana" w:hAnsi="Verdana" w:cs="Arial"/>
                <w:i/>
                <w:iCs/>
                <w:sz w:val="16"/>
                <w:szCs w:val="16"/>
                <w:lang w:eastAsia="es-ES"/>
              </w:rPr>
              <w:t>ii</w:t>
            </w:r>
            <w:proofErr w:type="spellEnd"/>
            <w:r w:rsidRPr="007B2C44">
              <w:rPr>
                <w:rFonts w:ascii="Verdana" w:hAnsi="Verdana" w:cs="Arial"/>
                <w:i/>
                <w:iCs/>
                <w:sz w:val="16"/>
                <w:szCs w:val="16"/>
                <w:lang w:eastAsia="es-ES"/>
              </w:rPr>
              <w:t>) Según el leal saber y entender de la Entidad del Programa, no existen acuerdos ni obligaciones pendientes que pudieran afectar de forma sustancial y adversa la capacidad de la Entidad del Subproyecto correspondiente para cumplir con sus obligaciones en virtud de un Acuerdo de Subproyecto celebrado de conformidad con el Acuerdo Marco del ERPA y cualquier Acuerdo de Fase del ERPA; y</w:t>
            </w:r>
          </w:p>
          <w:p w14:paraId="628D813E" w14:textId="07FAE9E4"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w:t>
            </w:r>
            <w:proofErr w:type="spellStart"/>
            <w:r w:rsidRPr="007B2C44">
              <w:rPr>
                <w:rFonts w:ascii="Verdana" w:hAnsi="Verdana" w:cs="Arial"/>
                <w:i/>
                <w:iCs/>
                <w:sz w:val="16"/>
                <w:szCs w:val="16"/>
                <w:lang w:eastAsia="es-ES"/>
              </w:rPr>
              <w:t>iii</w:t>
            </w:r>
            <w:proofErr w:type="spellEnd"/>
            <w:r w:rsidRPr="007B2C44">
              <w:rPr>
                <w:rFonts w:ascii="Verdana" w:hAnsi="Verdana" w:cs="Arial"/>
                <w:i/>
                <w:iCs/>
                <w:sz w:val="16"/>
                <w:szCs w:val="16"/>
                <w:lang w:eastAsia="es-ES"/>
              </w:rPr>
              <w:t>) según el leal saber y entender de la Entidad del Programa, la Entidad del Subproyecto no se ha comprometido con ningún otro programa o desarrollador de proyectos a generar ER en la parte respectiva del Área de Medidas del Programa ER de la ISFL ni a transferir dichas ER a ningún Tercero que pudiera afectar material y negativamente la capacidad de la Entidad del Subproyecto correspondiente para cumplir con sus obligaciones en virtud de un Acuerdo de Subproyecto celebrado de conformidad con el Acuerdo Marco del ERPA y cualquier Acuerdo de Fase del ERPA.”</w:t>
            </w:r>
          </w:p>
        </w:tc>
      </w:tr>
      <w:tr w:rsidR="00DF69A5" w:rsidRPr="00152290" w14:paraId="2006FA83" w14:textId="77777777" w:rsidTr="00DF69A5">
        <w:tc>
          <w:tcPr>
            <w:tcW w:w="1838" w:type="dxa"/>
          </w:tcPr>
          <w:p w14:paraId="0DEF8A25" w14:textId="0CA4B92B"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t xml:space="preserve">ARTÍCULO XIII Declaraciones, Garantías y Convenios </w:t>
            </w:r>
            <w:r w:rsidRPr="007B2C44">
              <w:rPr>
                <w:rFonts w:ascii="Verdana" w:hAnsi="Verdana" w:cs="Arial"/>
                <w:b/>
                <w:bCs/>
                <w:sz w:val="16"/>
                <w:szCs w:val="16"/>
                <w:lang w:eastAsia="es-ES"/>
              </w:rPr>
              <w:t>Sección 13.03</w:t>
            </w:r>
            <w:r w:rsidRPr="007B2C44">
              <w:rPr>
                <w:rFonts w:ascii="Verdana" w:hAnsi="Verdana" w:cs="Arial"/>
                <w:sz w:val="16"/>
                <w:szCs w:val="16"/>
                <w:lang w:eastAsia="es-ES"/>
              </w:rPr>
              <w:t xml:space="preserve"> Declaraciones y Garantías del Subproyecto (b):</w:t>
            </w:r>
          </w:p>
        </w:tc>
        <w:tc>
          <w:tcPr>
            <w:tcW w:w="7229" w:type="dxa"/>
          </w:tcPr>
          <w:p w14:paraId="39935CB9" w14:textId="4D0F344F"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“Si la Entidad del Programa ya no puede realizar las declaraciones y garantías de la Sección 13.03(a) con respecto a un Subproyecto, la Entidad del Programa deberá proporcionar al Fideicomisario un Aviso de Incumplimiento con respecto al Subproyecto pertinente.”</w:t>
            </w:r>
          </w:p>
        </w:tc>
      </w:tr>
      <w:tr w:rsidR="00DF69A5" w:rsidRPr="00152290" w14:paraId="3B83668C" w14:textId="77777777" w:rsidTr="00DF69A5">
        <w:tc>
          <w:tcPr>
            <w:tcW w:w="1838" w:type="dxa"/>
          </w:tcPr>
          <w:p w14:paraId="46C52CD6" w14:textId="2C18E52B"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t xml:space="preserve">ARTÍCULO XIV Transferencia de Título a ER </w:t>
            </w:r>
            <w:r w:rsidRPr="007B2C44">
              <w:rPr>
                <w:rFonts w:ascii="Verdana" w:hAnsi="Verdana" w:cs="Arial"/>
                <w:b/>
                <w:bCs/>
                <w:sz w:val="16"/>
                <w:szCs w:val="16"/>
                <w:lang w:eastAsia="es-ES"/>
              </w:rPr>
              <w:t>Sección 14.01</w:t>
            </w:r>
            <w:r w:rsidRPr="007B2C44">
              <w:rPr>
                <w:rFonts w:ascii="Verdana" w:hAnsi="Verdana" w:cs="Arial"/>
                <w:sz w:val="16"/>
                <w:szCs w:val="16"/>
                <w:lang w:eastAsia="es-ES"/>
              </w:rPr>
              <w:t xml:space="preserve"> Título a ER (a):</w:t>
            </w:r>
          </w:p>
        </w:tc>
        <w:tc>
          <w:tcPr>
            <w:tcW w:w="7229" w:type="dxa"/>
          </w:tcPr>
          <w:p w14:paraId="388D2D9F" w14:textId="77777777"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“La Entidad del Programa deberá garantizar durante todo el Plazo y de conformidad con los Requisitos del Programa ER de ISFL que la Entidad del Programa tenga la capacidad de transferir el Título de los ER al Fideicomisario, libre de cualquier interés, gravamen o reclamo de un Tercero que no sea de conformidad con el Acuerdo Marco ERPA y cualquier Acuerdo de Fase ERPA”.</w:t>
            </w:r>
          </w:p>
          <w:p w14:paraId="1B2AEB28" w14:textId="77777777" w:rsidR="00DF69A5" w:rsidRPr="007B2C44" w:rsidRDefault="00DF69A5" w:rsidP="00AB67A3">
            <w:pPr>
              <w:spacing w:after="240" w:line="276" w:lineRule="auto"/>
              <w:jc w:val="both"/>
              <w:rPr>
                <w:rFonts w:ascii="Verdana" w:hAnsi="Verdana" w:cs="Arial"/>
                <w:sz w:val="16"/>
                <w:szCs w:val="16"/>
                <w:lang w:eastAsia="es-ES"/>
              </w:rPr>
            </w:pPr>
          </w:p>
          <w:p w14:paraId="1555DEE4" w14:textId="138EA7B5"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sz w:val="16"/>
                <w:szCs w:val="16"/>
                <w:lang w:eastAsia="es-ES"/>
              </w:rPr>
              <w:t xml:space="preserve">Y </w:t>
            </w:r>
            <w:proofErr w:type="gramStart"/>
            <w:r w:rsidRPr="007B2C44">
              <w:rPr>
                <w:rFonts w:ascii="Verdana" w:hAnsi="Verdana" w:cs="Arial"/>
                <w:sz w:val="16"/>
                <w:szCs w:val="16"/>
                <w:lang w:eastAsia="es-ES"/>
              </w:rPr>
              <w:t>en caso que</w:t>
            </w:r>
            <w:proofErr w:type="gramEnd"/>
            <w:r w:rsidRPr="007B2C44">
              <w:rPr>
                <w:rFonts w:ascii="Verdana" w:hAnsi="Verdana" w:cs="Arial"/>
                <w:sz w:val="16"/>
                <w:szCs w:val="16"/>
                <w:lang w:eastAsia="es-ES"/>
              </w:rPr>
              <w:t xml:space="preserve"> tenga conocimiento de la incapacidad de transferir la titularidad de los ER, debe proceder de conformidad con los literales b y c de la Sección 14.01.</w:t>
            </w:r>
          </w:p>
        </w:tc>
      </w:tr>
      <w:tr w:rsidR="00DF69A5" w:rsidRPr="00152290" w14:paraId="2B1F3949" w14:textId="77777777" w:rsidTr="00DF69A5">
        <w:tc>
          <w:tcPr>
            <w:tcW w:w="1838" w:type="dxa"/>
          </w:tcPr>
          <w:p w14:paraId="5461A3E1" w14:textId="3F1EAC4F"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t xml:space="preserve">ARTÍCULO XV Eventos de Incumplimiento y Recursos </w:t>
            </w:r>
            <w:r w:rsidRPr="007B2C44">
              <w:rPr>
                <w:rFonts w:ascii="Verdana" w:hAnsi="Verdana" w:cs="Arial"/>
                <w:b/>
                <w:bCs/>
                <w:sz w:val="16"/>
                <w:szCs w:val="16"/>
                <w:lang w:eastAsia="es-ES"/>
              </w:rPr>
              <w:t>Sección 15.01</w:t>
            </w:r>
            <w:r w:rsidRPr="007B2C44">
              <w:rPr>
                <w:rFonts w:ascii="Verdana" w:hAnsi="Verdana" w:cs="Arial"/>
                <w:sz w:val="16"/>
                <w:szCs w:val="16"/>
                <w:lang w:eastAsia="es-ES"/>
              </w:rPr>
              <w:t xml:space="preserve"> Eventos de Incumplimiento:</w:t>
            </w:r>
          </w:p>
        </w:tc>
        <w:tc>
          <w:tcPr>
            <w:tcW w:w="7229" w:type="dxa"/>
          </w:tcPr>
          <w:p w14:paraId="5A8B627D" w14:textId="77777777"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“Cada uno de los siguientes eventos son Eventos de Incumplimiento por parte de la Entidad del Programa:</w:t>
            </w:r>
          </w:p>
          <w:p w14:paraId="5BC5258B" w14:textId="77777777"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(i) Fallo en la Transferencia de ER;</w:t>
            </w:r>
          </w:p>
          <w:p w14:paraId="353E1B37" w14:textId="77777777"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w:t>
            </w:r>
            <w:proofErr w:type="spellStart"/>
            <w:r w:rsidRPr="007B2C44">
              <w:rPr>
                <w:rFonts w:ascii="Verdana" w:hAnsi="Verdana" w:cs="Arial"/>
                <w:i/>
                <w:iCs/>
                <w:sz w:val="16"/>
                <w:szCs w:val="16"/>
                <w:lang w:eastAsia="es-ES"/>
              </w:rPr>
              <w:t>ii</w:t>
            </w:r>
            <w:proofErr w:type="spellEnd"/>
            <w:r w:rsidRPr="007B2C44">
              <w:rPr>
                <w:rFonts w:ascii="Verdana" w:hAnsi="Verdana" w:cs="Arial"/>
                <w:i/>
                <w:iCs/>
                <w:sz w:val="16"/>
                <w:szCs w:val="16"/>
                <w:lang w:eastAsia="es-ES"/>
              </w:rPr>
              <w:t xml:space="preserve">) la ocurrencia de una Reversión, según lo determine el Fideicomisario, y el incumplimiento por parte de la Entidad del Programa de garantizar, a través del Colchón ISFL, dentro de los noventa (90) días calendario siguientes a la determinación del Fideicomisario sobre la ocurrencia de una Reversión, que las ER Contractuales y/o las </w:t>
            </w:r>
            <w:r w:rsidRPr="007B2C44">
              <w:rPr>
                <w:rFonts w:ascii="Verdana" w:hAnsi="Verdana" w:cs="Arial"/>
                <w:i/>
                <w:iCs/>
                <w:sz w:val="16"/>
                <w:szCs w:val="16"/>
                <w:lang w:eastAsia="es-ES"/>
              </w:rPr>
              <w:lastRenderedPageBreak/>
              <w:t>ER Adicionales previamente transferidas al Fideicomisario en virtud del Acuerdo Marco del ERPA y cualquier Acuerdo de Fase del ERPA no se vean afectadas por dicha Reversión; (</w:t>
            </w:r>
            <w:proofErr w:type="spellStart"/>
            <w:r w:rsidRPr="007B2C44">
              <w:rPr>
                <w:rFonts w:ascii="Verdana" w:hAnsi="Verdana" w:cs="Arial"/>
                <w:i/>
                <w:iCs/>
                <w:sz w:val="16"/>
                <w:szCs w:val="16"/>
                <w:lang w:eastAsia="es-ES"/>
              </w:rPr>
              <w:t>iii</w:t>
            </w:r>
            <w:proofErr w:type="spellEnd"/>
            <w:r w:rsidRPr="007B2C44">
              <w:rPr>
                <w:rFonts w:ascii="Verdana" w:hAnsi="Verdana" w:cs="Arial"/>
                <w:i/>
                <w:iCs/>
                <w:sz w:val="16"/>
                <w:szCs w:val="16"/>
                <w:lang w:eastAsia="es-ES"/>
              </w:rPr>
              <w:t>) la ocurrencia de una Contienda de Título, según lo determine el Fideicomisario de conformidad con la Sección 14.01(d), y la falta de garantía por parte de la Entidad del Programa, dentro de los noventa (90) días calendario posteriores a la determinación del Fideicomisario sobre la ocurrencia de una Contienda de Título, de que la transferencia de Título a los ER con respecto a cualquier ER Contractual y/o ER Adicional previamente transferida al Fideicomisario en virtud del Acuerdo Marco del ERPA y cualquier Acuerdo de Fase del ERPA no se vea afectada por dicha Contienda de Título;</w:t>
            </w:r>
          </w:p>
          <w:p w14:paraId="2AA6DF07" w14:textId="77777777"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w:t>
            </w:r>
            <w:proofErr w:type="spellStart"/>
            <w:r w:rsidRPr="007B2C44">
              <w:rPr>
                <w:rFonts w:ascii="Verdana" w:hAnsi="Verdana" w:cs="Arial"/>
                <w:i/>
                <w:iCs/>
                <w:sz w:val="16"/>
                <w:szCs w:val="16"/>
                <w:lang w:eastAsia="es-ES"/>
              </w:rPr>
              <w:t>iv</w:t>
            </w:r>
            <w:proofErr w:type="spellEnd"/>
            <w:r w:rsidRPr="007B2C44">
              <w:rPr>
                <w:rFonts w:ascii="Verdana" w:hAnsi="Verdana" w:cs="Arial"/>
                <w:i/>
                <w:iCs/>
                <w:sz w:val="16"/>
                <w:szCs w:val="16"/>
                <w:lang w:eastAsia="es-ES"/>
              </w:rPr>
              <w:t>) la falta de realización y presentación al Fideicomisario de un Análisis y Actualización del Inventario de GEI antes de cualquier Fase del ERPA (excepto la Fase final del ERPA), en forma y contenido satisfactorios para el Fideicomisario; (v) la disolución, liquidación, insolvencia o quiebra (voluntaria o involuntaria) de la Entidad del Programa o un cambio en la estructura de propiedad de la Entidad del Programa que afecte negativamente a su capacidad para cumplir con sus obligaciones en virtud del Acuerdo Marco del ERPA y de cualquier Acuerdo de Fase del ERPA, según la opinión razonable del Fideicomisario;</w:t>
            </w:r>
          </w:p>
          <w:p w14:paraId="5EC6E569" w14:textId="77777777"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(vi) un retraso sustancial en el desarrollo e implementación del Programa ISFL ER u otro cambio significativamente adverso en la situación del Programa ISFL ER que afecte negativamente a la capacidad de la Entidad del Programa para cumplir con sus obligaciones en virtud del Acuerdo Marco del ERPA y de cualquier Acuerdo de Fase del ERPA, según la opinión razonable del Fideicomisario;</w:t>
            </w:r>
          </w:p>
          <w:p w14:paraId="5B5DBFC4" w14:textId="77777777"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w:t>
            </w:r>
            <w:proofErr w:type="spellStart"/>
            <w:r w:rsidRPr="007B2C44">
              <w:rPr>
                <w:rFonts w:ascii="Verdana" w:hAnsi="Verdana" w:cs="Arial"/>
                <w:i/>
                <w:iCs/>
                <w:sz w:val="16"/>
                <w:szCs w:val="16"/>
                <w:lang w:eastAsia="es-ES"/>
              </w:rPr>
              <w:t>vii</w:t>
            </w:r>
            <w:proofErr w:type="spellEnd"/>
            <w:r w:rsidRPr="007B2C44">
              <w:rPr>
                <w:rFonts w:ascii="Verdana" w:hAnsi="Verdana" w:cs="Arial"/>
                <w:i/>
                <w:iCs/>
                <w:sz w:val="16"/>
                <w:szCs w:val="16"/>
                <w:lang w:eastAsia="es-ES"/>
              </w:rPr>
              <w:t>) un incumplimiento sustancial por parte de la Entidad del Programa de cualquier otra cláusula del Acuerdo Marco del ERPA o de cualquier Acuerdo de Fase del ERPA;</w:t>
            </w:r>
          </w:p>
          <w:p w14:paraId="53E4A7C5" w14:textId="77777777"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w:t>
            </w:r>
            <w:proofErr w:type="spellStart"/>
            <w:r w:rsidRPr="007B2C44">
              <w:rPr>
                <w:rFonts w:ascii="Verdana" w:hAnsi="Verdana" w:cs="Arial"/>
                <w:i/>
                <w:iCs/>
                <w:sz w:val="16"/>
                <w:szCs w:val="16"/>
                <w:lang w:eastAsia="es-ES"/>
              </w:rPr>
              <w:t>viii</w:t>
            </w:r>
            <w:proofErr w:type="spellEnd"/>
            <w:r w:rsidRPr="007B2C44">
              <w:rPr>
                <w:rFonts w:ascii="Verdana" w:hAnsi="Verdana" w:cs="Arial"/>
                <w:i/>
                <w:iCs/>
                <w:sz w:val="16"/>
                <w:szCs w:val="16"/>
                <w:lang w:eastAsia="es-ES"/>
              </w:rPr>
              <w:t>) incumplimiento de todos los requisitos contenidos en el Plan de Monitoreo de ER, el Plan de Distribución de Beneficios, el Manual de Operaciones del Plan de Distribución de Beneficios o un Plan de Salvaguardias previsto en el Acuerdo Marco del ERPA y los respectivos Acuerdos de Fase del ERPA (incluido cualquier mecanismo de retroalimentación y resolución de quejas previsto en el Programa de ER, el Plan de Distribución de Beneficios o un Plan de Salvaguardias); y</w:t>
            </w:r>
          </w:p>
          <w:p w14:paraId="40D8CC8C" w14:textId="4D4415CA"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w:t>
            </w:r>
            <w:proofErr w:type="spellStart"/>
            <w:r w:rsidRPr="007B2C44">
              <w:rPr>
                <w:rFonts w:ascii="Verdana" w:hAnsi="Verdana" w:cs="Arial"/>
                <w:i/>
                <w:iCs/>
                <w:sz w:val="16"/>
                <w:szCs w:val="16"/>
                <w:lang w:eastAsia="es-ES"/>
              </w:rPr>
              <w:t>ix</w:t>
            </w:r>
            <w:proofErr w:type="spellEnd"/>
            <w:r w:rsidRPr="007B2C44">
              <w:rPr>
                <w:rFonts w:ascii="Verdana" w:hAnsi="Verdana" w:cs="Arial"/>
                <w:i/>
                <w:iCs/>
                <w:sz w:val="16"/>
                <w:szCs w:val="16"/>
                <w:lang w:eastAsia="es-ES"/>
              </w:rPr>
              <w:t>) determinación por parte del Banco Mundial de que la Entidad del Programa ha incurrido, o ha autorizado o permitido, a cualquier afiliado o persona que actúe en su nombre a incurrir en una Práctica Sancionable.”</w:t>
            </w:r>
          </w:p>
        </w:tc>
      </w:tr>
      <w:tr w:rsidR="00DF69A5" w:rsidRPr="00152290" w14:paraId="4426A6E3" w14:textId="77777777" w:rsidTr="00DF69A5">
        <w:tc>
          <w:tcPr>
            <w:tcW w:w="1838" w:type="dxa"/>
          </w:tcPr>
          <w:p w14:paraId="67E5613C" w14:textId="00004A4D" w:rsidR="00DF69A5" w:rsidRPr="007B2C44" w:rsidRDefault="00DF69A5" w:rsidP="00AB67A3">
            <w:pPr>
              <w:spacing w:after="240" w:line="276" w:lineRule="auto"/>
              <w:jc w:val="both"/>
              <w:rPr>
                <w:rFonts w:ascii="Verdana" w:hAnsi="Verdana" w:cs="Arial"/>
                <w:sz w:val="16"/>
                <w:szCs w:val="16"/>
                <w:lang w:eastAsia="es-ES"/>
              </w:rPr>
            </w:pPr>
            <w:r w:rsidRPr="007B2C44">
              <w:rPr>
                <w:rFonts w:ascii="Verdana" w:hAnsi="Verdana" w:cs="Arial"/>
                <w:sz w:val="16"/>
                <w:szCs w:val="16"/>
                <w:lang w:eastAsia="es-ES"/>
              </w:rPr>
              <w:lastRenderedPageBreak/>
              <w:t xml:space="preserve">ARTÍCULO XV Eventos de Incumplimiento y Recursos </w:t>
            </w:r>
            <w:r w:rsidRPr="007B2C44">
              <w:rPr>
                <w:rFonts w:ascii="Verdana" w:hAnsi="Verdana" w:cs="Arial"/>
                <w:b/>
                <w:bCs/>
                <w:sz w:val="16"/>
                <w:szCs w:val="16"/>
                <w:lang w:eastAsia="es-ES"/>
              </w:rPr>
              <w:t>Sección 15.02</w:t>
            </w:r>
            <w:r w:rsidRPr="007B2C44">
              <w:rPr>
                <w:rFonts w:ascii="Verdana" w:hAnsi="Verdana" w:cs="Arial"/>
                <w:sz w:val="16"/>
                <w:szCs w:val="16"/>
                <w:lang w:eastAsia="es-ES"/>
              </w:rPr>
              <w:t xml:space="preserve"> Aviso y Subsanación de caso de Incumplimiento o Plan de acción:</w:t>
            </w:r>
          </w:p>
        </w:tc>
        <w:tc>
          <w:tcPr>
            <w:tcW w:w="7229" w:type="dxa"/>
          </w:tcPr>
          <w:p w14:paraId="65D03215" w14:textId="10B76DA5" w:rsidR="00DF69A5" w:rsidRPr="007B2C44" w:rsidRDefault="00DF69A5" w:rsidP="00AB67A3">
            <w:pPr>
              <w:spacing w:after="240" w:line="276" w:lineRule="auto"/>
              <w:jc w:val="both"/>
              <w:rPr>
                <w:rFonts w:ascii="Verdana" w:hAnsi="Verdana" w:cs="Arial"/>
                <w:i/>
                <w:iCs/>
                <w:sz w:val="16"/>
                <w:szCs w:val="16"/>
                <w:lang w:eastAsia="es-ES"/>
              </w:rPr>
            </w:pPr>
            <w:r w:rsidRPr="007B2C44">
              <w:rPr>
                <w:rFonts w:ascii="Verdana" w:hAnsi="Verdana" w:cs="Arial"/>
                <w:i/>
                <w:iCs/>
                <w:sz w:val="16"/>
                <w:szCs w:val="16"/>
                <w:lang w:eastAsia="es-ES"/>
              </w:rPr>
              <w:t>“Sin perjuicio de lo dispuesto en la Sección 15.03(a)(</w:t>
            </w:r>
            <w:proofErr w:type="spellStart"/>
            <w:r w:rsidRPr="007B2C44">
              <w:rPr>
                <w:rFonts w:ascii="Verdana" w:hAnsi="Verdana" w:cs="Arial"/>
                <w:i/>
                <w:iCs/>
                <w:sz w:val="16"/>
                <w:szCs w:val="16"/>
                <w:lang w:eastAsia="es-ES"/>
              </w:rPr>
              <w:t>iv</w:t>
            </w:r>
            <w:proofErr w:type="spellEnd"/>
            <w:r w:rsidRPr="007B2C44">
              <w:rPr>
                <w:rFonts w:ascii="Verdana" w:hAnsi="Verdana" w:cs="Arial"/>
                <w:i/>
                <w:iCs/>
                <w:sz w:val="16"/>
                <w:szCs w:val="16"/>
                <w:lang w:eastAsia="es-ES"/>
              </w:rPr>
              <w:t>), en caso de que la Entidad del Programa incumpla con todos los requisitos contenidos en un Plan de Distribución de Beneficios o un Plan de Salvaguardias previsto en la ERPA (incluido cualquier mecanismo de retroalimentación y resolución de quejas previsto en un Plan de Salvaguardias), los derechos de la Entidad del Programa a transferir cualquier cantidad de ER afectadas por dicho incumplimiento y a solicitar el pago de dichas ER afectadas se suspenderán a partir de la fecha de recepción de la Notificación de Incumplimiento hasta que se haya subsanado dicho incumplimiento.”</w:t>
            </w:r>
          </w:p>
        </w:tc>
      </w:tr>
    </w:tbl>
    <w:p w14:paraId="4B75904B" w14:textId="0F548A93" w:rsidR="00152290" w:rsidRPr="00554215" w:rsidRDefault="00DF69A5" w:rsidP="00DF69A5">
      <w:pPr>
        <w:spacing w:after="240" w:line="276" w:lineRule="auto"/>
        <w:jc w:val="center"/>
        <w:rPr>
          <w:rFonts w:ascii="Verdana" w:hAnsi="Verdana" w:cs="Arial"/>
          <w:b/>
          <w:bCs/>
          <w:i/>
          <w:iCs/>
          <w:sz w:val="20"/>
          <w:szCs w:val="20"/>
          <w:lang w:val="en-US" w:eastAsia="es-ES"/>
        </w:rPr>
      </w:pPr>
      <w:proofErr w:type="spellStart"/>
      <w:r w:rsidRPr="00554215">
        <w:rPr>
          <w:rFonts w:ascii="Verdana" w:hAnsi="Verdana" w:cs="Arial"/>
          <w:b/>
          <w:bCs/>
          <w:i/>
          <w:iCs/>
          <w:sz w:val="20"/>
          <w:szCs w:val="20"/>
          <w:lang w:val="en-US" w:eastAsia="es-ES"/>
        </w:rPr>
        <w:t>Tabla</w:t>
      </w:r>
      <w:proofErr w:type="spellEnd"/>
      <w:r w:rsidRPr="00554215">
        <w:rPr>
          <w:rFonts w:ascii="Verdana" w:hAnsi="Verdana" w:cs="Arial"/>
          <w:b/>
          <w:bCs/>
          <w:i/>
          <w:iCs/>
          <w:sz w:val="20"/>
          <w:szCs w:val="20"/>
          <w:lang w:val="en-US" w:eastAsia="es-ES"/>
        </w:rPr>
        <w:t xml:space="preserve"> No. 1. </w:t>
      </w:r>
      <w:proofErr w:type="spellStart"/>
      <w:r w:rsidRPr="00554215">
        <w:rPr>
          <w:rFonts w:ascii="Verdana" w:hAnsi="Verdana" w:cs="Arial"/>
          <w:b/>
          <w:bCs/>
          <w:i/>
          <w:iCs/>
          <w:sz w:val="20"/>
          <w:szCs w:val="20"/>
          <w:lang w:val="en-US" w:eastAsia="es-ES"/>
        </w:rPr>
        <w:t>Elaboración</w:t>
      </w:r>
      <w:proofErr w:type="spellEnd"/>
      <w:r w:rsidRPr="00554215">
        <w:rPr>
          <w:rFonts w:ascii="Verdana" w:hAnsi="Verdana" w:cs="Arial"/>
          <w:b/>
          <w:bCs/>
          <w:i/>
          <w:iCs/>
          <w:sz w:val="20"/>
          <w:szCs w:val="20"/>
          <w:lang w:val="en-US" w:eastAsia="es-ES"/>
        </w:rPr>
        <w:t xml:space="preserve"> </w:t>
      </w:r>
      <w:proofErr w:type="spellStart"/>
      <w:r w:rsidRPr="00554215">
        <w:rPr>
          <w:rFonts w:ascii="Verdana" w:hAnsi="Verdana" w:cs="Arial"/>
          <w:b/>
          <w:bCs/>
          <w:i/>
          <w:iCs/>
          <w:sz w:val="20"/>
          <w:szCs w:val="20"/>
          <w:lang w:val="en-US" w:eastAsia="es-ES"/>
        </w:rPr>
        <w:t>propia</w:t>
      </w:r>
      <w:proofErr w:type="spellEnd"/>
      <w:r w:rsidRPr="00554215">
        <w:rPr>
          <w:rFonts w:ascii="Verdana" w:hAnsi="Verdana" w:cs="Arial"/>
          <w:b/>
          <w:bCs/>
          <w:i/>
          <w:iCs/>
          <w:sz w:val="20"/>
          <w:szCs w:val="20"/>
          <w:lang w:val="en-US" w:eastAsia="es-ES"/>
        </w:rPr>
        <w:t xml:space="preserve">, </w:t>
      </w:r>
      <w:proofErr w:type="spellStart"/>
      <w:r w:rsidRPr="00554215">
        <w:rPr>
          <w:rFonts w:ascii="Verdana" w:hAnsi="Verdana" w:cs="Arial"/>
          <w:b/>
          <w:bCs/>
          <w:i/>
          <w:iCs/>
          <w:sz w:val="20"/>
          <w:szCs w:val="20"/>
          <w:lang w:val="en-US" w:eastAsia="es-ES"/>
        </w:rPr>
        <w:t>utilizando</w:t>
      </w:r>
      <w:proofErr w:type="spellEnd"/>
      <w:r w:rsidRPr="00554215">
        <w:rPr>
          <w:rFonts w:ascii="Verdana" w:hAnsi="Verdana" w:cs="Arial"/>
          <w:b/>
          <w:bCs/>
          <w:i/>
          <w:iCs/>
          <w:sz w:val="20"/>
          <w:szCs w:val="20"/>
          <w:lang w:val="en-US" w:eastAsia="es-ES"/>
        </w:rPr>
        <w:t xml:space="preserve"> </w:t>
      </w:r>
      <w:proofErr w:type="spellStart"/>
      <w:r w:rsidRPr="00554215">
        <w:rPr>
          <w:rFonts w:ascii="Verdana" w:hAnsi="Verdana" w:cs="Arial"/>
          <w:b/>
          <w:bCs/>
          <w:i/>
          <w:iCs/>
          <w:sz w:val="20"/>
          <w:szCs w:val="20"/>
          <w:lang w:val="en-US" w:eastAsia="es-ES"/>
        </w:rPr>
        <w:t>extractos</w:t>
      </w:r>
      <w:proofErr w:type="spellEnd"/>
      <w:r w:rsidRPr="00554215">
        <w:rPr>
          <w:rFonts w:ascii="Verdana" w:hAnsi="Verdana" w:cs="Arial"/>
          <w:b/>
          <w:bCs/>
          <w:i/>
          <w:iCs/>
          <w:sz w:val="20"/>
          <w:szCs w:val="20"/>
          <w:lang w:val="en-US" w:eastAsia="es-ES"/>
        </w:rPr>
        <w:t xml:space="preserve"> del </w:t>
      </w:r>
      <w:proofErr w:type="spellStart"/>
      <w:r w:rsidRPr="00554215">
        <w:rPr>
          <w:rFonts w:ascii="Verdana" w:hAnsi="Verdana" w:cs="Arial"/>
          <w:b/>
          <w:bCs/>
          <w:i/>
          <w:iCs/>
          <w:sz w:val="20"/>
          <w:szCs w:val="20"/>
          <w:lang w:val="en-US" w:eastAsia="es-ES"/>
        </w:rPr>
        <w:t>documento</w:t>
      </w:r>
      <w:proofErr w:type="spellEnd"/>
      <w:r w:rsidRPr="00554215">
        <w:rPr>
          <w:rFonts w:ascii="Verdana" w:hAnsi="Verdana" w:cs="Arial"/>
          <w:b/>
          <w:bCs/>
          <w:i/>
          <w:iCs/>
          <w:sz w:val="20"/>
          <w:szCs w:val="20"/>
          <w:lang w:val="en-US" w:eastAsia="es-ES"/>
        </w:rPr>
        <w:t xml:space="preserve"> “General Conditions Applicable to ERPA Framework Agreements and ERPA Phase </w:t>
      </w:r>
      <w:r w:rsidRPr="00554215">
        <w:rPr>
          <w:rFonts w:ascii="Verdana" w:hAnsi="Verdana" w:cs="Arial"/>
          <w:b/>
          <w:bCs/>
          <w:i/>
          <w:iCs/>
          <w:sz w:val="20"/>
          <w:szCs w:val="20"/>
          <w:lang w:val="en-US" w:eastAsia="es-ES"/>
        </w:rPr>
        <w:lastRenderedPageBreak/>
        <w:t xml:space="preserve">Agreements for </w:t>
      </w:r>
      <w:proofErr w:type="spellStart"/>
      <w:r w:rsidRPr="00554215">
        <w:rPr>
          <w:rFonts w:ascii="Verdana" w:hAnsi="Verdana" w:cs="Arial"/>
          <w:b/>
          <w:bCs/>
          <w:i/>
          <w:iCs/>
          <w:sz w:val="20"/>
          <w:szCs w:val="20"/>
          <w:lang w:val="en-US" w:eastAsia="es-ES"/>
        </w:rPr>
        <w:t>BioCarbon</w:t>
      </w:r>
      <w:proofErr w:type="spellEnd"/>
      <w:r w:rsidRPr="00554215">
        <w:rPr>
          <w:rFonts w:ascii="Verdana" w:hAnsi="Verdana" w:cs="Arial"/>
          <w:b/>
          <w:bCs/>
          <w:i/>
          <w:iCs/>
          <w:sz w:val="20"/>
          <w:szCs w:val="20"/>
          <w:lang w:val="en-US" w:eastAsia="es-ES"/>
        </w:rPr>
        <w:t xml:space="preserve"> Fund Initiative for Sustainable Forest Landscapes Emission Reductions Programs”.</w:t>
      </w:r>
    </w:p>
    <w:p w14:paraId="021B603D" w14:textId="3E3652BF" w:rsidR="003F25FD" w:rsidRDefault="003F25FD" w:rsidP="00B40C0B">
      <w:pPr>
        <w:spacing w:after="240" w:line="276" w:lineRule="auto"/>
        <w:jc w:val="both"/>
        <w:rPr>
          <w:rFonts w:ascii="Verdana" w:hAnsi="Verdana" w:cs="Arial"/>
          <w:lang w:eastAsia="es-ES"/>
        </w:rPr>
      </w:pPr>
      <w:r>
        <w:rPr>
          <w:rFonts w:ascii="Verdana" w:hAnsi="Verdana" w:cs="Arial"/>
          <w:lang w:eastAsia="es-ES"/>
        </w:rPr>
        <w:t xml:space="preserve">Estas obligaciones fueron consultadas por la Oficina Asesora Jurídica a la Dirección de Cambio Climático y Gestión del Riesgo mediante memorando No. </w:t>
      </w:r>
      <w:hyperlink r:id="rId10" w:anchor="2" w:history="1">
        <w:r w:rsidRPr="003F25FD">
          <w:rPr>
            <w:rFonts w:ascii="Verdana" w:hAnsi="Verdana" w:cs="Arial"/>
            <w:lang w:eastAsia="es-ES"/>
          </w:rPr>
          <w:t>13012026E3003336</w:t>
        </w:r>
      </w:hyperlink>
      <w:r>
        <w:rPr>
          <w:rFonts w:ascii="Verdana" w:hAnsi="Verdana" w:cs="Arial"/>
          <w:lang w:eastAsia="es-ES"/>
        </w:rPr>
        <w:t xml:space="preserve">, con el fin de confirmar que cuentan con la capacidad técnica para dar cumplimiento a los compromisos que se derivan de las Cláusulas Generales del ERPA con el Banco Mundial y, en consecuencia, que es viable su firma por parte de la Señora </w:t>
      </w:r>
      <w:proofErr w:type="gramStart"/>
      <w:r>
        <w:rPr>
          <w:rFonts w:ascii="Verdana" w:hAnsi="Verdana" w:cs="Arial"/>
          <w:lang w:eastAsia="es-ES"/>
        </w:rPr>
        <w:t>Ministra</w:t>
      </w:r>
      <w:proofErr w:type="gramEnd"/>
      <w:r>
        <w:rPr>
          <w:rFonts w:ascii="Verdana" w:hAnsi="Verdana" w:cs="Arial"/>
          <w:lang w:eastAsia="es-ES"/>
        </w:rPr>
        <w:t xml:space="preserve">, y con ello la suscripción de la cláusula compromisoria (que se activa ante un eventual incumplimiento). </w:t>
      </w:r>
    </w:p>
    <w:p w14:paraId="7CCC1966" w14:textId="77777777" w:rsidR="00EE7176" w:rsidRDefault="00EE7176" w:rsidP="00B40C0B">
      <w:pPr>
        <w:spacing w:after="240" w:line="276" w:lineRule="auto"/>
        <w:jc w:val="both"/>
        <w:rPr>
          <w:rFonts w:ascii="Verdana" w:hAnsi="Verdana" w:cs="Arial"/>
          <w:lang w:eastAsia="es-ES"/>
        </w:rPr>
      </w:pPr>
      <w:r>
        <w:rPr>
          <w:rFonts w:ascii="Verdana" w:hAnsi="Verdana" w:cs="Arial"/>
          <w:lang w:eastAsia="es-ES"/>
        </w:rPr>
        <w:t xml:space="preserve">Al respecto, la Dirección de Cambio Climático y Gestión del Riesgo dio respuesta hasta el día 2 de marzo de 2026, mediante memorando No. </w:t>
      </w:r>
      <w:r w:rsidRPr="00EE7176">
        <w:rPr>
          <w:rFonts w:ascii="Verdana" w:hAnsi="Verdana" w:cs="Arial"/>
          <w:lang w:eastAsia="es-ES"/>
        </w:rPr>
        <w:t>32022026E3004411</w:t>
      </w:r>
      <w:r>
        <w:rPr>
          <w:rFonts w:ascii="Verdana" w:hAnsi="Verdana" w:cs="Arial"/>
          <w:lang w:eastAsia="es-ES"/>
        </w:rPr>
        <w:t>, indicando que:</w:t>
      </w:r>
    </w:p>
    <w:p w14:paraId="3215CD9A" w14:textId="7ECFB893" w:rsidR="00EE7176" w:rsidRPr="00EE7176" w:rsidRDefault="00EE7176" w:rsidP="00EE7176">
      <w:pPr>
        <w:spacing w:after="240" w:line="276" w:lineRule="auto"/>
        <w:ind w:left="708"/>
        <w:jc w:val="both"/>
        <w:rPr>
          <w:rFonts w:ascii="Verdana" w:hAnsi="Verdana" w:cs="Arial"/>
          <w:i/>
          <w:iCs/>
          <w:lang w:eastAsia="es-ES"/>
        </w:rPr>
      </w:pPr>
      <w:r w:rsidRPr="00EE7176">
        <w:rPr>
          <w:rFonts w:ascii="Verdana" w:hAnsi="Verdana" w:cs="Arial"/>
          <w:i/>
          <w:iCs/>
          <w:lang w:eastAsia="es-ES"/>
        </w:rPr>
        <w:t>“</w:t>
      </w:r>
      <w:r>
        <w:rPr>
          <w:rFonts w:ascii="Verdana" w:hAnsi="Verdana" w:cs="Arial"/>
          <w:i/>
          <w:iCs/>
          <w:lang w:eastAsia="es-ES"/>
        </w:rPr>
        <w:t xml:space="preserve">(…) </w:t>
      </w:r>
      <w:r w:rsidRPr="00EE7176">
        <w:rPr>
          <w:rFonts w:ascii="Verdana" w:hAnsi="Verdana" w:cs="Arial"/>
          <w:i/>
          <w:iCs/>
          <w:lang w:eastAsia="es-ES"/>
        </w:rPr>
        <w:t>el diseño del programa cuenta con documentos en su formulación que describen el Programa de Reducción de Emisiones (PRE) y el Plan de Distribución de Beneficios (PDB), estos son la base fundamental para la implementación de las acciones y cumplimiento de las obligaciones (los documentos se anexan en la presente comunicación).</w:t>
      </w:r>
    </w:p>
    <w:p w14:paraId="7A0D0E87" w14:textId="6099EEEC" w:rsidR="00EE7176" w:rsidRPr="00EE7176" w:rsidRDefault="00EE7176" w:rsidP="00EE7176">
      <w:pPr>
        <w:spacing w:after="240" w:line="276" w:lineRule="auto"/>
        <w:ind w:left="708"/>
        <w:jc w:val="both"/>
        <w:rPr>
          <w:rFonts w:ascii="Verdana" w:hAnsi="Verdana" w:cs="Arial"/>
          <w:i/>
          <w:iCs/>
          <w:lang w:eastAsia="es-ES"/>
        </w:rPr>
      </w:pPr>
      <w:r w:rsidRPr="00EE7176">
        <w:rPr>
          <w:rFonts w:ascii="Verdana" w:hAnsi="Verdana" w:cs="Arial"/>
          <w:i/>
          <w:iCs/>
          <w:lang w:eastAsia="es-ES"/>
        </w:rPr>
        <w:t xml:space="preserve">Así las cosas, en el PRE se detallan los responsables de la gestión y ejecución del programa, aquí se define que el Programa </w:t>
      </w:r>
      <w:proofErr w:type="spellStart"/>
      <w:r w:rsidRPr="00EE7176">
        <w:rPr>
          <w:rFonts w:ascii="Verdana" w:hAnsi="Verdana" w:cs="Arial"/>
          <w:i/>
          <w:iCs/>
          <w:lang w:eastAsia="es-ES"/>
        </w:rPr>
        <w:t>Biocarbono</w:t>
      </w:r>
      <w:proofErr w:type="spellEnd"/>
      <w:r w:rsidRPr="00EE7176">
        <w:rPr>
          <w:rFonts w:ascii="Verdana" w:hAnsi="Verdana" w:cs="Arial"/>
          <w:i/>
          <w:iCs/>
          <w:lang w:eastAsia="es-ES"/>
        </w:rPr>
        <w:t xml:space="preserve"> será liderado por el Ministerio de Agricultura y Desarrollo Agropecuario a través del Viceministerio de Asuntos Agropecuarios y la Dirección de Innovación, Desarrollo Tecnológico y Protección Sanitaria. El Ministerio de Agricultura como entidad ejecutora dirigirá la formulación de todas las políticas y objetivos relacionados con la agricultura, la ganadería y la silvicultura comercial. Será el responsable de la gestión administrativa y operativa del Programa, así como de liderar la ejecución de las medidas relacionadas con el sector agropecuario en las cadenas productivas priorizadas, también, direccionará los arreglos interinstitucionales encaminados a fortalecer el Monitoreo, Reporte y Verificación (MRV), la gestión </w:t>
      </w:r>
      <w:r w:rsidRPr="00EE7176">
        <w:rPr>
          <w:rFonts w:ascii="Verdana" w:hAnsi="Verdana" w:cs="Arial"/>
          <w:i/>
          <w:iCs/>
          <w:lang w:eastAsia="es-ES"/>
        </w:rPr>
        <w:lastRenderedPageBreak/>
        <w:t>necesaria para implementar actividades agropecuarias que generan reducción de emisiones en la región e implementar el PDB.</w:t>
      </w:r>
    </w:p>
    <w:p w14:paraId="2C81EA79" w14:textId="33AC0069" w:rsidR="00EE7176" w:rsidRPr="00EE7176" w:rsidRDefault="00EE7176" w:rsidP="00EE7176">
      <w:pPr>
        <w:spacing w:after="240" w:line="276" w:lineRule="auto"/>
        <w:ind w:left="708"/>
        <w:jc w:val="both"/>
        <w:rPr>
          <w:rFonts w:ascii="Verdana" w:hAnsi="Verdana" w:cs="Arial"/>
          <w:i/>
          <w:iCs/>
          <w:lang w:eastAsia="es-ES"/>
        </w:rPr>
      </w:pPr>
      <w:r w:rsidRPr="00EE7176">
        <w:rPr>
          <w:rFonts w:ascii="Verdana" w:hAnsi="Verdana" w:cs="Arial"/>
          <w:i/>
          <w:iCs/>
          <w:lang w:eastAsia="es-ES"/>
        </w:rPr>
        <w:t>Además, conformará la Unidad Implementadora del Programa (UIPRE), un equipo de profesionales encargado de impulsar y asegurar la ejecución del programa de acuerdo con los Planes Operativos Anuales que sean aprobados por el comité directivo.</w:t>
      </w:r>
    </w:p>
    <w:p w14:paraId="7F8DFEE3" w14:textId="7B0F921D" w:rsidR="00EE7176" w:rsidRPr="00EE7176" w:rsidRDefault="00EE7176" w:rsidP="00EE7176">
      <w:pPr>
        <w:spacing w:after="240" w:line="276" w:lineRule="auto"/>
        <w:ind w:left="708"/>
        <w:jc w:val="both"/>
        <w:rPr>
          <w:rFonts w:ascii="Verdana" w:hAnsi="Verdana" w:cs="Arial"/>
          <w:i/>
          <w:iCs/>
          <w:lang w:eastAsia="es-ES"/>
        </w:rPr>
      </w:pPr>
      <w:r w:rsidRPr="00EE7176">
        <w:rPr>
          <w:rFonts w:ascii="Verdana" w:hAnsi="Verdana" w:cs="Arial"/>
          <w:i/>
          <w:iCs/>
          <w:lang w:eastAsia="es-ES"/>
        </w:rPr>
        <w:t>La UIPRE será la encargada de rendir los reportes requeridos por las instancias decisorias y asesoras. También será responsable de articular acciones con las entidades ejecutoras e implementadoras del programa y realizar seguimiento a los compromisos suscritos, gestionar la formulación y ejecución de proyectos para la implementación de las medidas de mitigación del PRE.</w:t>
      </w:r>
    </w:p>
    <w:p w14:paraId="2EFD9554" w14:textId="56D26C19" w:rsidR="00EE7176" w:rsidRPr="00EE7176" w:rsidRDefault="00EE7176" w:rsidP="00EE7176">
      <w:pPr>
        <w:spacing w:after="240" w:line="276" w:lineRule="auto"/>
        <w:ind w:left="708"/>
        <w:jc w:val="both"/>
        <w:rPr>
          <w:rFonts w:ascii="Verdana" w:hAnsi="Verdana" w:cs="Arial"/>
          <w:i/>
          <w:iCs/>
          <w:lang w:eastAsia="es-ES"/>
        </w:rPr>
      </w:pPr>
      <w:r w:rsidRPr="00EE7176">
        <w:rPr>
          <w:rFonts w:ascii="Verdana" w:hAnsi="Verdana" w:cs="Arial"/>
          <w:i/>
          <w:iCs/>
          <w:lang w:eastAsia="es-ES"/>
        </w:rPr>
        <w:t xml:space="preserve">El Ministerio de Ambiente y Desarrollo Sostenible junto al Instituto de Meteorología y Estudios Ambientales (IDEAM) y la Unidad de Planeación Rural y Agropecuaria (UPRA), serán entidades </w:t>
      </w:r>
      <w:proofErr w:type="spellStart"/>
      <w:r w:rsidRPr="00EE7176">
        <w:rPr>
          <w:rFonts w:ascii="Verdana" w:hAnsi="Verdana" w:cs="Arial"/>
          <w:i/>
          <w:iCs/>
          <w:lang w:eastAsia="es-ES"/>
        </w:rPr>
        <w:t>coejecutoras</w:t>
      </w:r>
      <w:proofErr w:type="spellEnd"/>
      <w:r w:rsidRPr="00EE7176">
        <w:rPr>
          <w:rFonts w:ascii="Verdana" w:hAnsi="Verdana" w:cs="Arial"/>
          <w:i/>
          <w:iCs/>
          <w:lang w:eastAsia="es-ES"/>
        </w:rPr>
        <w:t xml:space="preserve"> del programa y responsables de los temas técnicos que están bajo su competencia misional e institucional. Particularmente el Ministerio de Ambiente, será responsable de liderar técnicamente la ejecución de las medidas relacionadas con la reducción de emisiones GEI debidas a la deforestación y degradación de los bosques, la conservación y aumento de las reservas de carbono.</w:t>
      </w:r>
    </w:p>
    <w:p w14:paraId="2F9909EB" w14:textId="0BC5B780" w:rsidR="00EE7176" w:rsidRPr="00EE7176" w:rsidRDefault="00EE7176" w:rsidP="00EE7176">
      <w:pPr>
        <w:spacing w:after="240" w:line="276" w:lineRule="auto"/>
        <w:ind w:left="708"/>
        <w:jc w:val="both"/>
        <w:rPr>
          <w:rFonts w:ascii="Verdana" w:hAnsi="Verdana" w:cs="Arial"/>
          <w:i/>
          <w:iCs/>
          <w:lang w:eastAsia="es-ES"/>
        </w:rPr>
      </w:pPr>
      <w:r w:rsidRPr="00EE7176">
        <w:rPr>
          <w:rFonts w:ascii="Verdana" w:hAnsi="Verdana" w:cs="Arial"/>
          <w:i/>
          <w:iCs/>
          <w:lang w:eastAsia="es-ES"/>
        </w:rPr>
        <w:t>Por su parte el IDEAM, al ser el responsable del Inventario Nacional de GEI (INGEI), del Inventario Forestal Nacional (IFN), del Sistema Nacional de Monitoreo Forestal (SNIF) y del Sistema de Monitoreo de Bosques y Carbono (</w:t>
      </w:r>
      <w:proofErr w:type="spellStart"/>
      <w:r w:rsidRPr="00EE7176">
        <w:rPr>
          <w:rFonts w:ascii="Verdana" w:hAnsi="Verdana" w:cs="Arial"/>
          <w:i/>
          <w:iCs/>
          <w:lang w:eastAsia="es-ES"/>
        </w:rPr>
        <w:t>SMByC</w:t>
      </w:r>
      <w:proofErr w:type="spellEnd"/>
      <w:r w:rsidRPr="00EE7176">
        <w:rPr>
          <w:rFonts w:ascii="Verdana" w:hAnsi="Verdana" w:cs="Arial"/>
          <w:i/>
          <w:iCs/>
          <w:lang w:eastAsia="es-ES"/>
        </w:rPr>
        <w:t>), llevará a cabo la modelización y el análisis de los factores que impulsan la deforestación y otras emisiones, así como el análisis del cambio de uso del suelo. De esta esta manera será el responsable del Monitoreo y reporte de la reducción de emisiones GEI debidas a la deforestación y degradación de los bosques.</w:t>
      </w:r>
    </w:p>
    <w:p w14:paraId="79C557BD" w14:textId="7AF3002C" w:rsidR="00EE7176" w:rsidRPr="00EE7176" w:rsidRDefault="00EE7176" w:rsidP="00EE7176">
      <w:pPr>
        <w:spacing w:after="240" w:line="276" w:lineRule="auto"/>
        <w:ind w:left="708"/>
        <w:jc w:val="both"/>
        <w:rPr>
          <w:rFonts w:ascii="Verdana" w:hAnsi="Verdana" w:cs="Arial"/>
          <w:i/>
          <w:iCs/>
          <w:lang w:eastAsia="es-ES"/>
        </w:rPr>
      </w:pPr>
      <w:r w:rsidRPr="00EE7176">
        <w:rPr>
          <w:rFonts w:ascii="Verdana" w:hAnsi="Verdana" w:cs="Arial"/>
          <w:i/>
          <w:iCs/>
          <w:lang w:eastAsia="es-ES"/>
        </w:rPr>
        <w:t xml:space="preserve">Adicionalmente, para la fase de implementación se contará con el apoyo de entidades implementadoras del PRE, las cuales podrán ser </w:t>
      </w:r>
      <w:r w:rsidRPr="00EE7176">
        <w:rPr>
          <w:rFonts w:ascii="Verdana" w:hAnsi="Verdana" w:cs="Arial"/>
          <w:i/>
          <w:iCs/>
          <w:lang w:eastAsia="es-ES"/>
        </w:rPr>
        <w:lastRenderedPageBreak/>
        <w:t>entidades de derecho público o privado, del nivel nacional, regional o local con quienes se aunará esfuerzos técnicos y administrativos para la estructuración y ejecución de proyectos a través de los cuales se implementarán las medidas y acciones de mitigación definidas.</w:t>
      </w:r>
    </w:p>
    <w:p w14:paraId="77594679" w14:textId="7A4AC2D6" w:rsidR="00EE7176" w:rsidRPr="00EE7176" w:rsidRDefault="00EE7176" w:rsidP="00EE7176">
      <w:pPr>
        <w:spacing w:after="240" w:line="276" w:lineRule="auto"/>
        <w:ind w:left="708"/>
        <w:jc w:val="both"/>
        <w:rPr>
          <w:rFonts w:ascii="Verdana" w:hAnsi="Verdana" w:cs="Arial"/>
          <w:i/>
          <w:iCs/>
          <w:lang w:eastAsia="es-ES"/>
        </w:rPr>
      </w:pPr>
      <w:r w:rsidRPr="00EE7176">
        <w:rPr>
          <w:rFonts w:ascii="Verdana" w:hAnsi="Verdana" w:cs="Arial"/>
          <w:i/>
          <w:iCs/>
          <w:noProof/>
          <w:lang w:eastAsia="es-ES"/>
          <w14:ligatures w14:val="standardContextual"/>
        </w:rPr>
        <w:drawing>
          <wp:inline distT="0" distB="0" distL="0" distR="0" wp14:anchorId="21218222" wp14:editId="6EF7B7ED">
            <wp:extent cx="5612130" cy="3260725"/>
            <wp:effectExtent l="0" t="0" r="1270" b="3175"/>
            <wp:docPr id="47154942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549420" name="Imagen 471549420"/>
                    <pic:cNvPicPr/>
                  </pic:nvPicPr>
                  <pic:blipFill>
                    <a:blip r:embed="rId11">
                      <a:extLst>
                        <a:ext uri="{28A0092B-C50C-407E-A947-70E740481C1C}">
                          <a14:useLocalDpi xmlns:a14="http://schemas.microsoft.com/office/drawing/2010/main" val="0"/>
                        </a:ext>
                      </a:extLst>
                    </a:blip>
                    <a:stretch>
                      <a:fillRect/>
                    </a:stretch>
                  </pic:blipFill>
                  <pic:spPr>
                    <a:xfrm>
                      <a:off x="0" y="0"/>
                      <a:ext cx="5612130" cy="3260725"/>
                    </a:xfrm>
                    <a:prstGeom prst="rect">
                      <a:avLst/>
                    </a:prstGeom>
                  </pic:spPr>
                </pic:pic>
              </a:graphicData>
            </a:graphic>
          </wp:inline>
        </w:drawing>
      </w:r>
    </w:p>
    <w:p w14:paraId="3DDDB934" w14:textId="36A371F7" w:rsidR="00EE7176" w:rsidRPr="00EE7176" w:rsidRDefault="00EE7176" w:rsidP="00EE7176">
      <w:pPr>
        <w:spacing w:after="240" w:line="276" w:lineRule="auto"/>
        <w:ind w:left="708"/>
        <w:jc w:val="both"/>
        <w:rPr>
          <w:rFonts w:ascii="Verdana" w:hAnsi="Verdana" w:cs="Arial"/>
          <w:i/>
          <w:iCs/>
          <w:lang w:eastAsia="es-ES"/>
        </w:rPr>
      </w:pPr>
      <w:r w:rsidRPr="00EE7176">
        <w:rPr>
          <w:rFonts w:ascii="Verdana" w:hAnsi="Verdana" w:cs="Arial"/>
          <w:i/>
          <w:iCs/>
          <w:lang w:eastAsia="es-ES"/>
        </w:rPr>
        <w:t xml:space="preserve">La Figura 1, elaborada por el Programa </w:t>
      </w:r>
      <w:proofErr w:type="spellStart"/>
      <w:r w:rsidRPr="00EE7176">
        <w:rPr>
          <w:rFonts w:ascii="Verdana" w:hAnsi="Verdana" w:cs="Arial"/>
          <w:i/>
          <w:iCs/>
          <w:lang w:eastAsia="es-ES"/>
        </w:rPr>
        <w:t>Biocarbono</w:t>
      </w:r>
      <w:proofErr w:type="spellEnd"/>
      <w:r w:rsidRPr="00EE7176">
        <w:rPr>
          <w:rFonts w:ascii="Verdana" w:hAnsi="Verdana" w:cs="Arial"/>
          <w:i/>
          <w:iCs/>
          <w:lang w:eastAsia="es-ES"/>
        </w:rPr>
        <w:t xml:space="preserve"> y presentada en el documento PRE, describe el esquema de gobernanza propuesto, se incluyen los países contribuyentes al programa del Banco Mundial Paisajes Forestales Sostenibles - ISFL (por sus siglas en inglés), las entidades </w:t>
      </w:r>
      <w:proofErr w:type="spellStart"/>
      <w:r w:rsidRPr="00EE7176">
        <w:rPr>
          <w:rFonts w:ascii="Verdana" w:hAnsi="Verdana" w:cs="Arial"/>
          <w:i/>
          <w:iCs/>
          <w:lang w:eastAsia="es-ES"/>
        </w:rPr>
        <w:t>coejecutoras</w:t>
      </w:r>
      <w:proofErr w:type="spellEnd"/>
      <w:r w:rsidRPr="00EE7176">
        <w:rPr>
          <w:rFonts w:ascii="Verdana" w:hAnsi="Verdana" w:cs="Arial"/>
          <w:i/>
          <w:iCs/>
          <w:lang w:eastAsia="es-ES"/>
        </w:rPr>
        <w:t xml:space="preserve"> y como eje articulador la UIPRE. Este esquema permitirá contar con las capacidades para el cumplimiento del ERPA.</w:t>
      </w:r>
    </w:p>
    <w:p w14:paraId="5DF02E57" w14:textId="5A0BDAE3" w:rsidR="00EE7176" w:rsidRPr="00EE7176" w:rsidRDefault="00EE7176" w:rsidP="00EE7176">
      <w:pPr>
        <w:spacing w:after="240" w:line="276" w:lineRule="auto"/>
        <w:ind w:left="708"/>
        <w:jc w:val="both"/>
        <w:rPr>
          <w:rFonts w:ascii="Verdana" w:hAnsi="Verdana" w:cs="Arial"/>
          <w:i/>
          <w:iCs/>
          <w:lang w:eastAsia="es-ES"/>
        </w:rPr>
      </w:pPr>
      <w:r w:rsidRPr="00EE7176">
        <w:rPr>
          <w:rFonts w:ascii="Verdana" w:hAnsi="Verdana" w:cs="Arial"/>
          <w:i/>
          <w:iCs/>
          <w:lang w:eastAsia="es-ES"/>
        </w:rPr>
        <w:t xml:space="preserve">La UIPRE será contratada con los recursos del programa y ejercerá sus actividades durante toda la fase de implementación y cierre. Sin embargo, como parte del proceso de firma del ERPA el Banco Mundial dispondrá de recursos de donación para conformar el equipo de la UIPRE una vez se oficialice el inicio, esto permitirá responder al bloque de actividades para el primer periodo de reporte </w:t>
      </w:r>
      <w:r w:rsidRPr="00EE7176">
        <w:rPr>
          <w:rFonts w:ascii="Verdana" w:hAnsi="Verdana" w:cs="Arial"/>
          <w:i/>
          <w:iCs/>
          <w:lang w:eastAsia="es-ES"/>
        </w:rPr>
        <w:lastRenderedPageBreak/>
        <w:t>del programa y acceder al pago por resultados. Estos recursos no se contabilizan en el monto total del acuerdo, es decir, los 40 millones de dólares.</w:t>
      </w:r>
    </w:p>
    <w:p w14:paraId="7EC4D7AC" w14:textId="00A2CDCD" w:rsidR="00EE7176" w:rsidRPr="00EE7176" w:rsidRDefault="00EE7176" w:rsidP="00EE7176">
      <w:pPr>
        <w:spacing w:after="240" w:line="276" w:lineRule="auto"/>
        <w:ind w:left="708"/>
        <w:jc w:val="both"/>
        <w:rPr>
          <w:rFonts w:ascii="Verdana" w:hAnsi="Verdana" w:cs="Arial"/>
          <w:i/>
          <w:iCs/>
          <w:lang w:eastAsia="es-ES"/>
        </w:rPr>
      </w:pPr>
      <w:r w:rsidRPr="00EE7176">
        <w:rPr>
          <w:rFonts w:ascii="Verdana" w:hAnsi="Verdana" w:cs="Arial"/>
          <w:i/>
          <w:iCs/>
          <w:lang w:eastAsia="es-ES"/>
        </w:rPr>
        <w:t>Por lo anterior, las obligaciones relacionadas en la tabla del memorando no serán responsabilidad directa de la DCCGR, nuestro rol será el de orientar las acciones y medidas conforme a la Política Nacional de Cambio Climático y asesorar los procesos para demostrar los resultados de mitigación, de acuerdo con los componentes del PRE, Figura 2.</w:t>
      </w:r>
    </w:p>
    <w:p w14:paraId="2D4F3662" w14:textId="44485C0B" w:rsidR="00EE7176" w:rsidRPr="00EE7176" w:rsidRDefault="00EE7176" w:rsidP="00EE7176">
      <w:pPr>
        <w:spacing w:after="240" w:line="276" w:lineRule="auto"/>
        <w:ind w:left="708"/>
        <w:jc w:val="both"/>
        <w:rPr>
          <w:rFonts w:ascii="Verdana" w:hAnsi="Verdana" w:cs="Arial"/>
          <w:i/>
          <w:iCs/>
          <w:lang w:eastAsia="es-ES"/>
        </w:rPr>
      </w:pPr>
      <w:r w:rsidRPr="00EE7176">
        <w:rPr>
          <w:rFonts w:ascii="Verdana" w:hAnsi="Verdana" w:cs="Arial"/>
          <w:i/>
          <w:iCs/>
          <w:noProof/>
          <w:lang w:eastAsia="es-ES"/>
          <w14:ligatures w14:val="standardContextual"/>
        </w:rPr>
        <w:drawing>
          <wp:inline distT="0" distB="0" distL="0" distR="0" wp14:anchorId="46EE6690" wp14:editId="26BBD429">
            <wp:extent cx="5612130" cy="3112770"/>
            <wp:effectExtent l="0" t="0" r="1270" b="0"/>
            <wp:docPr id="934287022"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287022" name="Imagen 934287022"/>
                    <pic:cNvPicPr/>
                  </pic:nvPicPr>
                  <pic:blipFill>
                    <a:blip r:embed="rId12">
                      <a:extLst>
                        <a:ext uri="{28A0092B-C50C-407E-A947-70E740481C1C}">
                          <a14:useLocalDpi xmlns:a14="http://schemas.microsoft.com/office/drawing/2010/main" val="0"/>
                        </a:ext>
                      </a:extLst>
                    </a:blip>
                    <a:stretch>
                      <a:fillRect/>
                    </a:stretch>
                  </pic:blipFill>
                  <pic:spPr>
                    <a:xfrm>
                      <a:off x="0" y="0"/>
                      <a:ext cx="5612130" cy="3112770"/>
                    </a:xfrm>
                    <a:prstGeom prst="rect">
                      <a:avLst/>
                    </a:prstGeom>
                  </pic:spPr>
                </pic:pic>
              </a:graphicData>
            </a:graphic>
          </wp:inline>
        </w:drawing>
      </w:r>
      <w:r w:rsidRPr="00EE7176">
        <w:rPr>
          <w:rFonts w:ascii="Verdana" w:hAnsi="Verdana" w:cs="Arial"/>
          <w:i/>
          <w:iCs/>
          <w:lang w:eastAsia="es-ES"/>
        </w:rPr>
        <w:t>”.</w:t>
      </w:r>
    </w:p>
    <w:p w14:paraId="1E41C756" w14:textId="77777777" w:rsidR="0011659A" w:rsidRPr="0011659A" w:rsidRDefault="0011659A" w:rsidP="00B40C0B">
      <w:pPr>
        <w:spacing w:after="240" w:line="276" w:lineRule="auto"/>
        <w:jc w:val="both"/>
        <w:rPr>
          <w:rFonts w:ascii="Verdana" w:hAnsi="Verdana" w:cs="Arial"/>
          <w:lang w:eastAsia="es-ES"/>
        </w:rPr>
      </w:pPr>
      <w:r w:rsidRPr="0011659A">
        <w:rPr>
          <w:rFonts w:ascii="Verdana" w:hAnsi="Verdana" w:cs="Arial"/>
          <w:lang w:eastAsia="es-ES"/>
        </w:rPr>
        <w:t xml:space="preserve">Conforme a lo anterior, se concluye que, aunque las obligaciones relacionadas en la tabla del memorando no serán responsabilidad directa de la DCCGR, su rol será el de orientar las acciones y medidas conforme a la Política Nacional de Cambio Climático y asesorar los procesos para demostrar los resultados de mitigación, de acuerdo con los componentes del PRE, lo que implica que, es en el marco de dicho rol y bajo las obligaciones específicas y concretas que esta Cartera Ministerial adquiere al momento de la suscripción de las condiciones generales del ERPA bajo la hoja de términos acordada entre la OAI de </w:t>
      </w:r>
      <w:proofErr w:type="spellStart"/>
      <w:r w:rsidRPr="0011659A">
        <w:rPr>
          <w:rFonts w:ascii="Verdana" w:hAnsi="Verdana" w:cs="Arial"/>
          <w:lang w:eastAsia="es-ES"/>
        </w:rPr>
        <w:t>MinAmbiente</w:t>
      </w:r>
      <w:proofErr w:type="spellEnd"/>
      <w:r w:rsidRPr="0011659A">
        <w:rPr>
          <w:rFonts w:ascii="Verdana" w:hAnsi="Verdana" w:cs="Arial"/>
          <w:lang w:eastAsia="es-ES"/>
        </w:rPr>
        <w:t xml:space="preserve"> (o quien sea </w:t>
      </w:r>
      <w:r w:rsidRPr="0011659A">
        <w:rPr>
          <w:rFonts w:ascii="Verdana" w:hAnsi="Verdana" w:cs="Arial"/>
          <w:lang w:eastAsia="es-ES"/>
        </w:rPr>
        <w:lastRenderedPageBreak/>
        <w:t>el equipo negociador)y el Banco Mundial que se derivaría el alcance de la Cartera y, en consecuencia, la capacidad.</w:t>
      </w:r>
    </w:p>
    <w:p w14:paraId="155C21E9" w14:textId="0BB1443F" w:rsidR="0011659A" w:rsidRDefault="0011659A" w:rsidP="18F40C24">
      <w:pPr>
        <w:spacing w:after="240" w:line="276" w:lineRule="auto"/>
        <w:jc w:val="both"/>
        <w:rPr>
          <w:rFonts w:ascii="Verdana" w:hAnsi="Verdana" w:cs="Arial"/>
          <w:lang w:eastAsia="es-ES"/>
        </w:rPr>
      </w:pPr>
      <w:r w:rsidRPr="00554215">
        <w:rPr>
          <w:rFonts w:ascii="Verdana" w:hAnsi="Verdana" w:cs="Arial"/>
          <w:lang w:eastAsia="es-ES"/>
        </w:rPr>
        <w:t>Por</w:t>
      </w:r>
      <w:r w:rsidRPr="18F40C24">
        <w:rPr>
          <w:rFonts w:ascii="Verdana" w:hAnsi="Verdana" w:cs="Arial"/>
          <w:i/>
          <w:iCs/>
          <w:lang w:eastAsia="es-ES"/>
        </w:rPr>
        <w:t xml:space="preserve"> </w:t>
      </w:r>
      <w:r w:rsidRPr="18F40C24">
        <w:rPr>
          <w:rFonts w:ascii="Verdana" w:hAnsi="Verdana" w:cs="Arial"/>
          <w:lang w:eastAsia="es-ES"/>
        </w:rPr>
        <w:t xml:space="preserve">lo tanto, conforme a lo anterior, nos permitimos confirmar </w:t>
      </w:r>
      <w:r w:rsidR="003F25FD" w:rsidRPr="18F40C24">
        <w:rPr>
          <w:rFonts w:ascii="Verdana" w:hAnsi="Verdana" w:cs="Arial"/>
          <w:lang w:eastAsia="es-ES"/>
        </w:rPr>
        <w:t>que</w:t>
      </w:r>
      <w:r w:rsidRPr="18F40C24">
        <w:rPr>
          <w:rFonts w:ascii="Verdana" w:hAnsi="Verdana" w:cs="Arial"/>
          <w:lang w:eastAsia="es-ES"/>
        </w:rPr>
        <w:t>,</w:t>
      </w:r>
      <w:r w:rsidR="003F25FD" w:rsidRPr="18F40C24">
        <w:rPr>
          <w:rFonts w:ascii="Verdana" w:hAnsi="Verdana" w:cs="Arial"/>
          <w:lang w:eastAsia="es-ES"/>
        </w:rPr>
        <w:t xml:space="preserve"> se cuenta con la competencia (análisis legal previamente realizado)</w:t>
      </w:r>
      <w:r w:rsidRPr="18F40C24">
        <w:rPr>
          <w:rFonts w:ascii="Verdana" w:hAnsi="Verdana" w:cs="Arial"/>
          <w:lang w:eastAsia="es-ES"/>
        </w:rPr>
        <w:t xml:space="preserve"> y la capacidad (de acuerdo con lo sostenido por la Dirección de Cambio Climático y Gestión del Riesgo en su memorando No. 32022026E3004411) para</w:t>
      </w:r>
      <w:r w:rsidR="00E768CA" w:rsidRPr="18F40C24">
        <w:rPr>
          <w:rFonts w:ascii="Verdana" w:hAnsi="Verdana" w:cs="Arial"/>
          <w:lang w:eastAsia="es-ES"/>
        </w:rPr>
        <w:t xml:space="preserve"> suscribir</w:t>
      </w:r>
      <w:r w:rsidRPr="18F40C24">
        <w:rPr>
          <w:rFonts w:ascii="Verdana" w:hAnsi="Verdana" w:cs="Arial"/>
          <w:lang w:eastAsia="es-ES"/>
        </w:rPr>
        <w:t xml:space="preserve"> el documento objeto de estudio, siempre y cuando se realice bajo la interpretación del párrafo que antecede</w:t>
      </w:r>
      <w:r w:rsidR="00E768CA" w:rsidRPr="18F40C24">
        <w:rPr>
          <w:rFonts w:ascii="Verdana" w:hAnsi="Verdana" w:cs="Arial"/>
          <w:lang w:eastAsia="es-ES"/>
        </w:rPr>
        <w:t>.</w:t>
      </w:r>
    </w:p>
    <w:p w14:paraId="10EF45AB" w14:textId="2645867B" w:rsidR="01A6D730" w:rsidRDefault="01A6D730" w:rsidP="00554215">
      <w:pPr>
        <w:spacing w:after="240" w:line="276" w:lineRule="auto"/>
        <w:jc w:val="both"/>
        <w:rPr>
          <w:rFonts w:ascii="Verdana" w:eastAsia="Verdana" w:hAnsi="Verdana" w:cs="Verdana"/>
        </w:rPr>
      </w:pPr>
      <w:r w:rsidRPr="18F40C24">
        <w:rPr>
          <w:rFonts w:ascii="Verdana" w:eastAsia="Verdana" w:hAnsi="Verdana" w:cs="Verdana"/>
        </w:rPr>
        <w:t>No obstante, se recomienda que dicha suscripción se realice bajo el entendido de que las obligaciones derivadas del ERPA serán asumidas conforme al esquema de gobernanza descrito en el PRE y dentro del alcance funcional que corresponde al Ministerio como entidad coejecutora técnica</w:t>
      </w:r>
      <w:r w:rsidR="7B2366A1" w:rsidRPr="18F40C24">
        <w:rPr>
          <w:rFonts w:ascii="Verdana" w:eastAsia="Verdana" w:hAnsi="Verdana" w:cs="Verdana"/>
        </w:rPr>
        <w:t>. Lo anterior, a efectos de evitar interpretaciones que atribuyan a MinAmbiente responsabilidades administrativas o financieras que, conforme al diseño del Programa, corresponden a otras entidades ejecutoras</w:t>
      </w:r>
      <w:r w:rsidR="61D8AB2E" w:rsidRPr="18F40C24">
        <w:rPr>
          <w:rFonts w:ascii="Verdana" w:eastAsia="Verdana" w:hAnsi="Verdana" w:cs="Verdana"/>
        </w:rPr>
        <w:t xml:space="preserve">. </w:t>
      </w:r>
    </w:p>
    <w:p w14:paraId="754ACFF6" w14:textId="08C57BBF" w:rsidR="00E144BE" w:rsidRDefault="007B2C44" w:rsidP="00B40C0B">
      <w:pPr>
        <w:spacing w:after="240" w:line="276" w:lineRule="auto"/>
        <w:jc w:val="both"/>
        <w:rPr>
          <w:rFonts w:ascii="Verdana" w:hAnsi="Verdana" w:cs="Arial"/>
          <w:lang w:eastAsia="es-ES"/>
        </w:rPr>
      </w:pPr>
      <w:r w:rsidRPr="18F40C24">
        <w:rPr>
          <w:rFonts w:ascii="Verdana" w:hAnsi="Verdana" w:cs="Arial"/>
          <w:lang w:eastAsia="es-ES"/>
        </w:rPr>
        <w:t xml:space="preserve">Adicional a lo anterior, </w:t>
      </w:r>
      <w:r w:rsidR="00B40C0B" w:rsidRPr="18F40C24">
        <w:rPr>
          <w:rFonts w:ascii="Verdana" w:hAnsi="Verdana" w:cs="Arial"/>
          <w:lang w:eastAsia="es-ES"/>
        </w:rPr>
        <w:t xml:space="preserve">la </w:t>
      </w:r>
      <w:r w:rsidR="00B40C0B" w:rsidRPr="18F40C24">
        <w:rPr>
          <w:rFonts w:ascii="Verdana" w:hAnsi="Verdana" w:cs="Arial"/>
          <w:b/>
          <w:bCs/>
          <w:lang w:eastAsia="es-ES"/>
        </w:rPr>
        <w:t>Sección 17.12</w:t>
      </w:r>
      <w:r w:rsidR="00B40C0B" w:rsidRPr="18F40C24">
        <w:rPr>
          <w:rFonts w:ascii="Verdana" w:hAnsi="Verdana" w:cs="Arial"/>
          <w:lang w:eastAsia="es-ES"/>
        </w:rPr>
        <w:t xml:space="preserve"> del artículo XVII dispone que el Acuerdo Completo está compuesto por las Condiciones Generales, el Acuerdo Marco ERPA y cualquier Acuerdo de Fase ERPA. Por lo tanto, dado que la Oficina de Asuntos Internacionales ha puesto en conocimiento de la Oficina Asesora Jurídica solamente el documento de Condiciones </w:t>
      </w:r>
      <w:proofErr w:type="gramStart"/>
      <w:r w:rsidR="00B40C0B" w:rsidRPr="18F40C24">
        <w:rPr>
          <w:rFonts w:ascii="Verdana" w:hAnsi="Verdana" w:cs="Arial"/>
          <w:lang w:eastAsia="es-ES"/>
        </w:rPr>
        <w:t>Generales,</w:t>
      </w:r>
      <w:proofErr w:type="gramEnd"/>
      <w:r w:rsidR="00B40C0B" w:rsidRPr="18F40C24">
        <w:rPr>
          <w:rFonts w:ascii="Verdana" w:hAnsi="Verdana" w:cs="Arial"/>
          <w:lang w:eastAsia="es-ES"/>
        </w:rPr>
        <w:t xml:space="preserve"> es respecto de este que se emite el presente pronunciamiento y no sobre todo el acuerdo, debido a que no se cuenta con los otros documentos que componen</w:t>
      </w:r>
      <w:r w:rsidR="5854C261" w:rsidRPr="18F40C24">
        <w:rPr>
          <w:rFonts w:ascii="Verdana" w:hAnsi="Verdana" w:cs="Arial"/>
          <w:lang w:eastAsia="es-ES"/>
        </w:rPr>
        <w:t xml:space="preserve"> o s</w:t>
      </w:r>
      <w:r w:rsidR="0EED2AE5" w:rsidRPr="18F40C24">
        <w:rPr>
          <w:rFonts w:ascii="Verdana" w:hAnsi="Verdana" w:cs="Arial"/>
          <w:lang w:eastAsia="es-ES"/>
        </w:rPr>
        <w:t>ean</w:t>
      </w:r>
      <w:r w:rsidR="5854C261" w:rsidRPr="18F40C24">
        <w:rPr>
          <w:rFonts w:ascii="Verdana" w:hAnsi="Verdana" w:cs="Arial"/>
          <w:lang w:eastAsia="es-ES"/>
        </w:rPr>
        <w:t xml:space="preserve"> parte integral</w:t>
      </w:r>
      <w:r w:rsidR="00B40C0B" w:rsidRPr="18F40C24">
        <w:rPr>
          <w:rFonts w:ascii="Verdana" w:hAnsi="Verdana" w:cs="Arial"/>
          <w:lang w:eastAsia="es-ES"/>
        </w:rPr>
        <w:t xml:space="preserve"> </w:t>
      </w:r>
      <w:r w:rsidR="0FEBBB91" w:rsidRPr="18F40C24">
        <w:rPr>
          <w:rFonts w:ascii="Verdana" w:hAnsi="Verdana" w:cs="Arial"/>
          <w:lang w:eastAsia="es-ES"/>
        </w:rPr>
        <w:t>d</w:t>
      </w:r>
      <w:r w:rsidR="00B40C0B" w:rsidRPr="18F40C24">
        <w:rPr>
          <w:rFonts w:ascii="Verdana" w:hAnsi="Verdana" w:cs="Arial"/>
          <w:lang w:eastAsia="es-ES"/>
        </w:rPr>
        <w:t>el Acuerdo Completo.</w:t>
      </w:r>
    </w:p>
    <w:p w14:paraId="52CBDAD7" w14:textId="02B1BBC2" w:rsidR="00B40C0B" w:rsidRPr="00B40C0B" w:rsidRDefault="00B40C0B" w:rsidP="00B40C0B">
      <w:pPr>
        <w:pStyle w:val="Prrafodelista"/>
        <w:numPr>
          <w:ilvl w:val="1"/>
          <w:numId w:val="48"/>
        </w:numPr>
        <w:spacing w:after="240" w:line="276" w:lineRule="auto"/>
        <w:jc w:val="both"/>
        <w:rPr>
          <w:rFonts w:ascii="Verdana" w:hAnsi="Verdana" w:cs="Arial"/>
          <w:b/>
          <w:bCs/>
          <w:lang w:eastAsia="es-ES"/>
        </w:rPr>
      </w:pPr>
      <w:r w:rsidRPr="00B40C0B">
        <w:rPr>
          <w:rFonts w:ascii="Verdana" w:hAnsi="Verdana" w:cs="Arial"/>
          <w:b/>
          <w:bCs/>
          <w:lang w:eastAsia="es-ES"/>
        </w:rPr>
        <w:t>Sobre la cláusula compromisoria contenida en los términos generales</w:t>
      </w:r>
      <w:r>
        <w:rPr>
          <w:rFonts w:ascii="Verdana" w:hAnsi="Verdana" w:cs="Arial"/>
          <w:b/>
          <w:bCs/>
          <w:lang w:eastAsia="es-ES"/>
        </w:rPr>
        <w:t>.</w:t>
      </w:r>
    </w:p>
    <w:p w14:paraId="77005D80" w14:textId="6A23E408" w:rsidR="00B40C0B" w:rsidRDefault="00B40C0B" w:rsidP="003969C1">
      <w:pPr>
        <w:spacing w:after="240" w:line="276" w:lineRule="auto"/>
        <w:jc w:val="both"/>
        <w:rPr>
          <w:rFonts w:ascii="Verdana" w:hAnsi="Verdana" w:cs="Arial"/>
          <w:lang w:eastAsia="es-ES"/>
        </w:rPr>
      </w:pPr>
      <w:r>
        <w:rPr>
          <w:rFonts w:ascii="Verdana" w:hAnsi="Verdana" w:cs="Arial"/>
          <w:lang w:eastAsia="es-ES"/>
        </w:rPr>
        <w:t xml:space="preserve">Bajo el entendido que los términos generales equivalen al documento de Condiciones Generales objeto del pronunciamiento en el anterior acápite, nos permitimos pronunciarnos respecto de la cláusula compromisoria contenida en la </w:t>
      </w:r>
      <w:r w:rsidRPr="00691222">
        <w:rPr>
          <w:rFonts w:ascii="Verdana" w:hAnsi="Verdana" w:cs="Arial"/>
          <w:b/>
          <w:bCs/>
          <w:lang w:eastAsia="es-ES"/>
        </w:rPr>
        <w:t xml:space="preserve">Sección </w:t>
      </w:r>
      <w:r w:rsidR="00691222" w:rsidRPr="00691222">
        <w:rPr>
          <w:rFonts w:ascii="Verdana" w:hAnsi="Verdana" w:cs="Arial"/>
          <w:b/>
          <w:bCs/>
          <w:lang w:eastAsia="es-ES"/>
        </w:rPr>
        <w:t>17.03</w:t>
      </w:r>
      <w:r w:rsidR="00691222">
        <w:rPr>
          <w:rFonts w:ascii="Verdana" w:hAnsi="Verdana" w:cs="Arial"/>
          <w:lang w:eastAsia="es-ES"/>
        </w:rPr>
        <w:t xml:space="preserve"> </w:t>
      </w:r>
      <w:r>
        <w:rPr>
          <w:rFonts w:ascii="Verdana" w:hAnsi="Verdana" w:cs="Arial"/>
          <w:lang w:eastAsia="es-ES"/>
        </w:rPr>
        <w:t>de dicho documento</w:t>
      </w:r>
      <w:r w:rsidR="0032255B">
        <w:rPr>
          <w:rFonts w:ascii="Verdana" w:hAnsi="Verdana" w:cs="Arial"/>
          <w:lang w:eastAsia="es-ES"/>
        </w:rPr>
        <w:t>, la cual reza así:</w:t>
      </w:r>
    </w:p>
    <w:p w14:paraId="1AB9F117" w14:textId="21706273" w:rsidR="0032255B" w:rsidRPr="0090080A" w:rsidRDefault="0043733D" w:rsidP="0043733D">
      <w:pPr>
        <w:spacing w:after="240" w:line="276" w:lineRule="auto"/>
        <w:ind w:left="708"/>
        <w:jc w:val="both"/>
        <w:rPr>
          <w:rFonts w:ascii="Verdana" w:hAnsi="Verdana" w:cs="Arial"/>
          <w:i/>
          <w:iCs/>
          <w:sz w:val="22"/>
          <w:szCs w:val="22"/>
          <w:lang w:eastAsia="es-ES"/>
        </w:rPr>
      </w:pPr>
      <w:r w:rsidRPr="0090080A">
        <w:rPr>
          <w:rFonts w:ascii="Verdana" w:hAnsi="Verdana" w:cs="Arial"/>
          <w:i/>
          <w:iCs/>
          <w:sz w:val="22"/>
          <w:szCs w:val="22"/>
          <w:lang w:eastAsia="es-ES"/>
        </w:rPr>
        <w:t>“</w:t>
      </w:r>
      <w:r w:rsidR="0032255B" w:rsidRPr="0090080A">
        <w:rPr>
          <w:rFonts w:ascii="Verdana" w:hAnsi="Verdana" w:cs="Arial"/>
          <w:i/>
          <w:iCs/>
          <w:sz w:val="22"/>
          <w:szCs w:val="22"/>
          <w:lang w:eastAsia="es-ES"/>
        </w:rPr>
        <w:t xml:space="preserve">Sección 17.03 </w:t>
      </w:r>
      <w:r w:rsidR="0032255B" w:rsidRPr="0090080A">
        <w:rPr>
          <w:rFonts w:ascii="Verdana" w:hAnsi="Verdana" w:cs="Arial"/>
          <w:b/>
          <w:bCs/>
          <w:i/>
          <w:iCs/>
          <w:sz w:val="22"/>
          <w:szCs w:val="22"/>
          <w:lang w:eastAsia="es-ES"/>
        </w:rPr>
        <w:t>Resolución de Disputas</w:t>
      </w:r>
    </w:p>
    <w:p w14:paraId="6A62AF15" w14:textId="77777777" w:rsidR="0032255B" w:rsidRPr="0090080A" w:rsidRDefault="0032255B" w:rsidP="0043733D">
      <w:pPr>
        <w:spacing w:after="240" w:line="276" w:lineRule="auto"/>
        <w:ind w:left="708"/>
        <w:jc w:val="both"/>
        <w:rPr>
          <w:rFonts w:ascii="Verdana" w:hAnsi="Verdana" w:cs="Arial"/>
          <w:i/>
          <w:iCs/>
          <w:sz w:val="22"/>
          <w:szCs w:val="22"/>
          <w:lang w:eastAsia="es-ES"/>
        </w:rPr>
      </w:pPr>
      <w:r w:rsidRPr="0090080A">
        <w:rPr>
          <w:rFonts w:ascii="Verdana" w:hAnsi="Verdana" w:cs="Arial"/>
          <w:i/>
          <w:iCs/>
          <w:sz w:val="22"/>
          <w:szCs w:val="22"/>
          <w:lang w:eastAsia="es-ES"/>
        </w:rPr>
        <w:lastRenderedPageBreak/>
        <w:t xml:space="preserve">(a) </w:t>
      </w:r>
      <w:r w:rsidRPr="0090080A">
        <w:rPr>
          <w:rFonts w:ascii="Verdana" w:hAnsi="Verdana" w:cs="Arial"/>
          <w:b/>
          <w:bCs/>
          <w:i/>
          <w:iCs/>
          <w:sz w:val="22"/>
          <w:szCs w:val="22"/>
          <w:lang w:eastAsia="es-ES"/>
        </w:rPr>
        <w:t>El Fideicomisario y la Entidad del Programa procurarán resolver amistosamente cualquier disputa entre ellos</w:t>
      </w:r>
      <w:r w:rsidRPr="0090080A">
        <w:rPr>
          <w:rFonts w:ascii="Verdana" w:hAnsi="Verdana" w:cs="Arial"/>
          <w:i/>
          <w:iCs/>
          <w:sz w:val="22"/>
          <w:szCs w:val="22"/>
          <w:lang w:eastAsia="es-ES"/>
        </w:rPr>
        <w:t xml:space="preserve"> que surja o esté relacionada con el Acuerdo Marco del ERPA o cualquier Acuerdo Fase del ERPA, o con su incumplimiento, rescisión o invalidez ("Disputa"). A solicitud escrita de cualquiera de las Partes ("Solicitud Inicial"), las Partes se reunirán con prontitud para considerar la Disputa.</w:t>
      </w:r>
    </w:p>
    <w:p w14:paraId="66E3AD84" w14:textId="77777777" w:rsidR="0032255B" w:rsidRPr="0090080A" w:rsidRDefault="0032255B" w:rsidP="0043733D">
      <w:pPr>
        <w:spacing w:after="240" w:line="276" w:lineRule="auto"/>
        <w:ind w:left="708"/>
        <w:jc w:val="both"/>
        <w:rPr>
          <w:rFonts w:ascii="Verdana" w:hAnsi="Verdana" w:cs="Arial"/>
          <w:b/>
          <w:bCs/>
          <w:i/>
          <w:iCs/>
          <w:sz w:val="22"/>
          <w:szCs w:val="22"/>
          <w:lang w:eastAsia="es-ES"/>
        </w:rPr>
      </w:pPr>
      <w:r w:rsidRPr="0090080A">
        <w:rPr>
          <w:rFonts w:ascii="Verdana" w:hAnsi="Verdana" w:cs="Arial"/>
          <w:i/>
          <w:iCs/>
          <w:sz w:val="22"/>
          <w:szCs w:val="22"/>
          <w:lang w:eastAsia="es-ES"/>
        </w:rPr>
        <w:t xml:space="preserve">(b) </w:t>
      </w:r>
      <w:r w:rsidRPr="0090080A">
        <w:rPr>
          <w:rFonts w:ascii="Verdana" w:hAnsi="Verdana" w:cs="Arial"/>
          <w:b/>
          <w:bCs/>
          <w:i/>
          <w:iCs/>
          <w:sz w:val="22"/>
          <w:szCs w:val="22"/>
          <w:lang w:eastAsia="es-ES"/>
        </w:rPr>
        <w:t>Si las Partes no han resuelto la Disputa dentro de los sesenta (60) días calendario a partir de la fecha de la Solicitud Inicial, podrán buscar una solución amistosa mediante conciliación,</w:t>
      </w:r>
      <w:r w:rsidRPr="0090080A">
        <w:rPr>
          <w:rFonts w:ascii="Verdana" w:hAnsi="Verdana" w:cs="Arial"/>
          <w:i/>
          <w:iCs/>
          <w:sz w:val="22"/>
          <w:szCs w:val="22"/>
          <w:lang w:eastAsia="es-ES"/>
        </w:rPr>
        <w:t xml:space="preserve"> que se llevará a cabo de conformidad con el Reglamento de Conciliación de la CNUDMI vigente. Las Partes procurarán llegar a un acuerdo sobre el nombre de un conciliador único; de no lograrlo, cualquiera de las Partes podrá solicitar al </w:t>
      </w:r>
      <w:proofErr w:type="gramStart"/>
      <w:r w:rsidRPr="0090080A">
        <w:rPr>
          <w:rFonts w:ascii="Verdana" w:hAnsi="Verdana" w:cs="Arial"/>
          <w:i/>
          <w:iCs/>
          <w:sz w:val="22"/>
          <w:szCs w:val="22"/>
          <w:lang w:eastAsia="es-ES"/>
        </w:rPr>
        <w:t>Secretario General</w:t>
      </w:r>
      <w:proofErr w:type="gramEnd"/>
      <w:r w:rsidRPr="0090080A">
        <w:rPr>
          <w:rFonts w:ascii="Verdana" w:hAnsi="Verdana" w:cs="Arial"/>
          <w:i/>
          <w:iCs/>
          <w:sz w:val="22"/>
          <w:szCs w:val="22"/>
          <w:lang w:eastAsia="es-ES"/>
        </w:rPr>
        <w:t xml:space="preserve"> de la Corte Permanente de Arbitraje que designe al conciliador único. Salvo acuerdo en contrario en el Acuerdo Marco del ERPA o en cualquier Acuerdo de Fase del ERPA, </w:t>
      </w:r>
      <w:r w:rsidRPr="0090080A">
        <w:rPr>
          <w:rFonts w:ascii="Verdana" w:hAnsi="Verdana" w:cs="Arial"/>
          <w:b/>
          <w:bCs/>
          <w:i/>
          <w:iCs/>
          <w:sz w:val="22"/>
          <w:szCs w:val="22"/>
          <w:lang w:eastAsia="es-ES"/>
        </w:rPr>
        <w:t>la sede de la conciliación será la capital del País Anfitrión.</w:t>
      </w:r>
    </w:p>
    <w:p w14:paraId="7956B0FC" w14:textId="53DCDEE0" w:rsidR="0032255B" w:rsidRPr="0090080A" w:rsidRDefault="0032255B" w:rsidP="0043733D">
      <w:pPr>
        <w:spacing w:after="240" w:line="276" w:lineRule="auto"/>
        <w:ind w:left="708"/>
        <w:jc w:val="both"/>
        <w:rPr>
          <w:rFonts w:ascii="Verdana" w:hAnsi="Verdana" w:cs="Arial"/>
          <w:i/>
          <w:iCs/>
          <w:sz w:val="22"/>
          <w:szCs w:val="22"/>
          <w:lang w:eastAsia="es-ES"/>
        </w:rPr>
      </w:pPr>
      <w:r w:rsidRPr="0090080A">
        <w:rPr>
          <w:rFonts w:ascii="Verdana" w:hAnsi="Verdana" w:cs="Arial"/>
          <w:i/>
          <w:iCs/>
          <w:sz w:val="22"/>
          <w:szCs w:val="22"/>
          <w:lang w:eastAsia="es-ES"/>
        </w:rPr>
        <w:t xml:space="preserve">(c) </w:t>
      </w:r>
      <w:r w:rsidRPr="0090080A">
        <w:rPr>
          <w:rFonts w:ascii="Verdana" w:hAnsi="Verdana" w:cs="Arial"/>
          <w:b/>
          <w:bCs/>
          <w:i/>
          <w:iCs/>
          <w:sz w:val="22"/>
          <w:szCs w:val="22"/>
          <w:lang w:eastAsia="es-ES"/>
        </w:rPr>
        <w:t>Si alguna de las Partes se niega a buscar una solución amistosa mediante conciliación, o si el procedimiento de conciliación se concluye sin éxito</w:t>
      </w:r>
      <w:r w:rsidRPr="0090080A">
        <w:rPr>
          <w:rFonts w:ascii="Verdana" w:hAnsi="Verdana" w:cs="Arial"/>
          <w:i/>
          <w:iCs/>
          <w:sz w:val="22"/>
          <w:szCs w:val="22"/>
          <w:lang w:eastAsia="es-ES"/>
        </w:rPr>
        <w:t xml:space="preserve">, cualquiera de las Partes podrá, mediante notificación por escrito a la otra, someter la solución de la </w:t>
      </w:r>
      <w:r w:rsidRPr="0090080A">
        <w:rPr>
          <w:rFonts w:ascii="Verdana" w:hAnsi="Verdana" w:cs="Arial"/>
          <w:b/>
          <w:bCs/>
          <w:i/>
          <w:iCs/>
          <w:sz w:val="22"/>
          <w:szCs w:val="22"/>
          <w:lang w:eastAsia="es-ES"/>
        </w:rPr>
        <w:t>Disputa a arbitraje</w:t>
      </w:r>
      <w:r w:rsidRPr="0090080A">
        <w:rPr>
          <w:rFonts w:ascii="Verdana" w:hAnsi="Verdana" w:cs="Arial"/>
          <w:i/>
          <w:iCs/>
          <w:sz w:val="22"/>
          <w:szCs w:val="22"/>
          <w:lang w:eastAsia="es-ES"/>
        </w:rPr>
        <w:t xml:space="preserve"> de conformidad con el Reglamento de Arbitraje de la CNUDMI vigente. La autoridad </w:t>
      </w:r>
      <w:proofErr w:type="spellStart"/>
      <w:r w:rsidRPr="0090080A">
        <w:rPr>
          <w:rFonts w:ascii="Verdana" w:hAnsi="Verdana" w:cs="Arial"/>
          <w:i/>
          <w:iCs/>
          <w:sz w:val="22"/>
          <w:szCs w:val="22"/>
          <w:lang w:eastAsia="es-ES"/>
        </w:rPr>
        <w:t>designante</w:t>
      </w:r>
      <w:proofErr w:type="spellEnd"/>
      <w:r w:rsidRPr="0090080A">
        <w:rPr>
          <w:rFonts w:ascii="Verdana" w:hAnsi="Verdana" w:cs="Arial"/>
          <w:i/>
          <w:iCs/>
          <w:sz w:val="22"/>
          <w:szCs w:val="22"/>
          <w:lang w:eastAsia="es-ES"/>
        </w:rPr>
        <w:t xml:space="preserve"> será el </w:t>
      </w:r>
      <w:proofErr w:type="gramStart"/>
      <w:r w:rsidRPr="0090080A">
        <w:rPr>
          <w:rFonts w:ascii="Verdana" w:hAnsi="Verdana" w:cs="Arial"/>
          <w:i/>
          <w:iCs/>
          <w:sz w:val="22"/>
          <w:szCs w:val="22"/>
          <w:lang w:eastAsia="es-ES"/>
        </w:rPr>
        <w:t>Secretario General</w:t>
      </w:r>
      <w:proofErr w:type="gramEnd"/>
      <w:r w:rsidRPr="0090080A">
        <w:rPr>
          <w:rFonts w:ascii="Verdana" w:hAnsi="Verdana" w:cs="Arial"/>
          <w:i/>
          <w:iCs/>
          <w:sz w:val="22"/>
          <w:szCs w:val="22"/>
          <w:lang w:eastAsia="es-ES"/>
        </w:rPr>
        <w:t xml:space="preserve"> de la Corte Permanente de Arbitraje, y el número de árbitros será uno. Salvo acuerdo en contrario en el Acuerdo Marco del ERPA o en cualquier Acuerdo de Fase del ERPA, </w:t>
      </w:r>
      <w:r w:rsidRPr="0090080A">
        <w:rPr>
          <w:rFonts w:ascii="Verdana" w:hAnsi="Verdana" w:cs="Arial"/>
          <w:b/>
          <w:bCs/>
          <w:i/>
          <w:iCs/>
          <w:sz w:val="22"/>
          <w:szCs w:val="22"/>
          <w:lang w:eastAsia="es-ES"/>
        </w:rPr>
        <w:t>la sede del arbitraje será Londres</w:t>
      </w:r>
      <w:r w:rsidRPr="0090080A">
        <w:rPr>
          <w:rFonts w:ascii="Verdana" w:hAnsi="Verdana" w:cs="Arial"/>
          <w:i/>
          <w:iCs/>
          <w:sz w:val="22"/>
          <w:szCs w:val="22"/>
          <w:lang w:eastAsia="es-ES"/>
        </w:rPr>
        <w:t>.”</w:t>
      </w:r>
    </w:p>
    <w:p w14:paraId="62ECB939" w14:textId="5D8552F7" w:rsidR="00633631" w:rsidRDefault="0043733D" w:rsidP="003969C1">
      <w:pPr>
        <w:spacing w:after="240" w:line="276" w:lineRule="auto"/>
        <w:jc w:val="both"/>
        <w:rPr>
          <w:rFonts w:ascii="Verdana" w:hAnsi="Verdana" w:cs="Arial"/>
          <w:lang w:eastAsia="es-ES"/>
        </w:rPr>
      </w:pPr>
      <w:r>
        <w:rPr>
          <w:rFonts w:ascii="Verdana" w:hAnsi="Verdana" w:cs="Arial"/>
          <w:lang w:eastAsia="es-ES"/>
        </w:rPr>
        <w:t>Al respecto, la Cancillería,</w:t>
      </w:r>
      <w:r w:rsidRPr="0043733D">
        <w:rPr>
          <w:rFonts w:ascii="Verdana" w:hAnsi="Verdana" w:cs="Arial"/>
          <w:lang w:eastAsia="es-ES"/>
        </w:rPr>
        <w:t xml:space="preserve"> </w:t>
      </w:r>
      <w:r>
        <w:rPr>
          <w:rFonts w:ascii="Verdana" w:hAnsi="Verdana" w:cs="Arial"/>
          <w:lang w:eastAsia="es-ES"/>
        </w:rPr>
        <w:t xml:space="preserve">en el oficio S-GTAJI-25-036637 del 14 de octubre de 2025, indicó que la práctica del Estado colombiano en materia de resolución de controversias está orientada a garantizar un amplio margen de alternativas de solución amistosa, a fin de evitar las vías de acción unilateral contra la Nación. En todo caso, no se </w:t>
      </w:r>
      <w:r w:rsidR="00633631">
        <w:rPr>
          <w:rFonts w:ascii="Verdana" w:hAnsi="Verdana" w:cs="Arial"/>
          <w:lang w:eastAsia="es-ES"/>
        </w:rPr>
        <w:t>descarta</w:t>
      </w:r>
      <w:r>
        <w:rPr>
          <w:rFonts w:ascii="Verdana" w:hAnsi="Verdana" w:cs="Arial"/>
          <w:lang w:eastAsia="es-ES"/>
        </w:rPr>
        <w:t xml:space="preserve"> el </w:t>
      </w:r>
      <w:r w:rsidR="00633631">
        <w:rPr>
          <w:rFonts w:ascii="Verdana" w:hAnsi="Verdana" w:cs="Arial"/>
          <w:lang w:eastAsia="es-ES"/>
        </w:rPr>
        <w:t>arbitraje</w:t>
      </w:r>
      <w:r>
        <w:rPr>
          <w:rFonts w:ascii="Verdana" w:hAnsi="Verdana" w:cs="Arial"/>
          <w:lang w:eastAsia="es-ES"/>
        </w:rPr>
        <w:t xml:space="preserve"> como forma alternativa de resolución de conflictos utilizada por el Estado colombiano, pero </w:t>
      </w:r>
      <w:r w:rsidR="00633631">
        <w:rPr>
          <w:rFonts w:ascii="Verdana" w:hAnsi="Verdana" w:cs="Arial"/>
          <w:lang w:eastAsia="es-ES"/>
        </w:rPr>
        <w:t>si destaca que hay otros mecanismos más convenientes.</w:t>
      </w:r>
    </w:p>
    <w:p w14:paraId="51641B62" w14:textId="5EE16615" w:rsidR="00633631" w:rsidRDefault="00633631" w:rsidP="003969C1">
      <w:pPr>
        <w:spacing w:after="240" w:line="276" w:lineRule="auto"/>
        <w:jc w:val="both"/>
        <w:rPr>
          <w:rFonts w:ascii="Verdana" w:hAnsi="Verdana" w:cs="Arial"/>
          <w:lang w:eastAsia="es-ES"/>
        </w:rPr>
      </w:pPr>
      <w:r w:rsidRPr="18F40C24">
        <w:rPr>
          <w:rFonts w:ascii="Verdana" w:hAnsi="Verdana" w:cs="Arial"/>
          <w:lang w:eastAsia="es-ES"/>
        </w:rPr>
        <w:t xml:space="preserve">Finalmente, la Cancillería concluye que, al margen de la anterior recomendación, se debe tener en cuenta que el documento de </w:t>
      </w:r>
      <w:r w:rsidRPr="18F40C24">
        <w:rPr>
          <w:rFonts w:ascii="Verdana" w:hAnsi="Verdana" w:cs="Arial"/>
          <w:lang w:eastAsia="es-ES"/>
        </w:rPr>
        <w:lastRenderedPageBreak/>
        <w:t>Condiciones Generales no es negociable y, por lo tanto, como no es posible cambiar su contenido, debe tenerse en cuenta que la cláusula compromisoria respete el lineamiento fijado por la Presidencia de la República en la Directiva Presidencial 05 de 2025.</w:t>
      </w:r>
    </w:p>
    <w:p w14:paraId="3F77440D" w14:textId="1B28FEA5" w:rsidR="006465B5" w:rsidRDefault="22656191" w:rsidP="18F40C24">
      <w:pPr>
        <w:spacing w:after="240" w:line="276" w:lineRule="auto"/>
        <w:jc w:val="both"/>
        <w:rPr>
          <w:rFonts w:ascii="Verdana" w:hAnsi="Verdana" w:cs="Arial"/>
          <w:lang w:eastAsia="es-ES"/>
        </w:rPr>
      </w:pPr>
      <w:r w:rsidRPr="18F40C24">
        <w:rPr>
          <w:rFonts w:ascii="Verdana" w:hAnsi="Verdana" w:cs="Arial"/>
          <w:lang w:eastAsia="es-ES"/>
        </w:rPr>
        <w:t>En este contexto</w:t>
      </w:r>
      <w:r w:rsidR="00633631" w:rsidRPr="18F40C24">
        <w:rPr>
          <w:rFonts w:ascii="Verdana" w:hAnsi="Verdana" w:cs="Arial"/>
          <w:lang w:eastAsia="es-ES"/>
        </w:rPr>
        <w:t>, corresponde a esta Oficina Asesora Jurídica pronunciarse respecto de la compatibilidad de la cláusula compromisoria contenida en la Sección 17.03 del documento de Condiciones Generales con la Directiva Presidencial 05 de 2025.</w:t>
      </w:r>
    </w:p>
    <w:p w14:paraId="7E4D4C24" w14:textId="3D7C7254" w:rsidR="00262BA0" w:rsidRPr="00262BA0" w:rsidRDefault="00262BA0" w:rsidP="00262BA0">
      <w:pPr>
        <w:pStyle w:val="Prrafodelista"/>
        <w:numPr>
          <w:ilvl w:val="0"/>
          <w:numId w:val="49"/>
        </w:numPr>
        <w:spacing w:after="240" w:line="276" w:lineRule="auto"/>
        <w:jc w:val="both"/>
        <w:rPr>
          <w:rFonts w:ascii="Verdana" w:hAnsi="Verdana" w:cs="Arial"/>
          <w:b/>
          <w:bCs/>
          <w:lang w:eastAsia="es-ES"/>
        </w:rPr>
      </w:pPr>
      <w:r w:rsidRPr="00262BA0">
        <w:rPr>
          <w:rFonts w:ascii="Verdana" w:hAnsi="Verdana" w:cs="Arial"/>
          <w:b/>
          <w:bCs/>
          <w:lang w:eastAsia="es-ES"/>
        </w:rPr>
        <w:t xml:space="preserve">De la Directiva Presidencial </w:t>
      </w:r>
      <w:r>
        <w:rPr>
          <w:rFonts w:ascii="Verdana" w:hAnsi="Verdana" w:cs="Arial"/>
          <w:b/>
          <w:bCs/>
          <w:lang w:eastAsia="es-ES"/>
        </w:rPr>
        <w:t>N</w:t>
      </w:r>
      <w:r w:rsidRPr="00262BA0">
        <w:rPr>
          <w:rFonts w:ascii="Verdana" w:hAnsi="Verdana" w:cs="Arial"/>
          <w:b/>
          <w:bCs/>
          <w:lang w:eastAsia="es-ES"/>
        </w:rPr>
        <w:t>o. 05 de 2025:</w:t>
      </w:r>
    </w:p>
    <w:p w14:paraId="3DD2E7EA" w14:textId="2664D4DF" w:rsidR="00633631" w:rsidRDefault="00633631" w:rsidP="003969C1">
      <w:pPr>
        <w:spacing w:after="240" w:line="276" w:lineRule="auto"/>
        <w:jc w:val="both"/>
        <w:rPr>
          <w:rFonts w:ascii="Verdana" w:hAnsi="Verdana" w:cs="Arial"/>
          <w:lang w:eastAsia="es-ES"/>
        </w:rPr>
      </w:pPr>
      <w:r>
        <w:rPr>
          <w:rFonts w:ascii="Verdana" w:hAnsi="Verdana" w:cs="Arial"/>
          <w:lang w:eastAsia="es-ES"/>
        </w:rPr>
        <w:t xml:space="preserve">Sobre este particular, la Directiva Presidencial No. 05 de 2025 </w:t>
      </w:r>
      <w:r w:rsidR="006465B5">
        <w:rPr>
          <w:rFonts w:ascii="Verdana" w:hAnsi="Verdana" w:cs="Arial"/>
          <w:lang w:eastAsia="es-ES"/>
        </w:rPr>
        <w:t xml:space="preserve">establece que para que una entidad del orden nacional como el Ministerio de Ambiente y Desarrollo Sostenible pueda suscribir una cláusula compromisoria, </w:t>
      </w:r>
      <w:r w:rsidR="00DB11A3">
        <w:rPr>
          <w:rFonts w:ascii="Verdana" w:hAnsi="Verdana" w:cs="Arial"/>
          <w:lang w:eastAsia="es-ES"/>
        </w:rPr>
        <w:t>se debe tener en cuenta lo siguiente:</w:t>
      </w:r>
    </w:p>
    <w:p w14:paraId="761C9C10" w14:textId="67736D1B" w:rsidR="00DB11A3" w:rsidRPr="0090080A" w:rsidRDefault="00DB11A3" w:rsidP="005C0208">
      <w:pPr>
        <w:spacing w:after="240" w:line="276" w:lineRule="auto"/>
        <w:ind w:left="708"/>
        <w:jc w:val="both"/>
        <w:rPr>
          <w:rFonts w:ascii="Verdana" w:hAnsi="Verdana" w:cs="Arial"/>
          <w:i/>
          <w:iCs/>
          <w:sz w:val="22"/>
          <w:szCs w:val="22"/>
          <w:lang w:eastAsia="es-ES"/>
        </w:rPr>
      </w:pPr>
      <w:r w:rsidRPr="0090080A">
        <w:rPr>
          <w:rFonts w:ascii="Verdana" w:hAnsi="Verdana" w:cs="Arial"/>
          <w:i/>
          <w:iCs/>
          <w:sz w:val="22"/>
          <w:szCs w:val="22"/>
          <w:lang w:eastAsia="es-ES"/>
        </w:rPr>
        <w:t xml:space="preserve">“Para suscribir un pacto arbitral o cláusula compromisoria es necesaria la previa </w:t>
      </w:r>
      <w:r w:rsidRPr="0090080A">
        <w:rPr>
          <w:rFonts w:ascii="Verdana" w:hAnsi="Verdana" w:cs="Arial"/>
          <w:b/>
          <w:bCs/>
          <w:i/>
          <w:iCs/>
          <w:sz w:val="22"/>
          <w:szCs w:val="22"/>
          <w:lang w:eastAsia="es-ES"/>
        </w:rPr>
        <w:t>evaluación jurídica y económica</w:t>
      </w:r>
      <w:r w:rsidRPr="0090080A">
        <w:rPr>
          <w:rFonts w:ascii="Verdana" w:hAnsi="Verdana" w:cs="Arial"/>
          <w:i/>
          <w:iCs/>
          <w:sz w:val="22"/>
          <w:szCs w:val="22"/>
          <w:lang w:eastAsia="es-ES"/>
        </w:rPr>
        <w:t xml:space="preserve"> de la conveniencia de acudir, en cada caso concreto, a la justicia arbitral, teniendo en cuenta la “naturaleza alternativa, procesal, temporal, excepcional y voluntaria”, de este mecanismo alternativo de solución de conflictos. </w:t>
      </w:r>
    </w:p>
    <w:p w14:paraId="429C0C18" w14:textId="77777777" w:rsidR="00DB11A3" w:rsidRPr="0090080A" w:rsidRDefault="00DB11A3" w:rsidP="005C0208">
      <w:pPr>
        <w:spacing w:after="240" w:line="276" w:lineRule="auto"/>
        <w:ind w:left="708"/>
        <w:jc w:val="both"/>
        <w:rPr>
          <w:rFonts w:ascii="Verdana" w:hAnsi="Verdana" w:cs="Arial"/>
          <w:i/>
          <w:iCs/>
          <w:sz w:val="22"/>
          <w:szCs w:val="22"/>
          <w:lang w:eastAsia="es-ES"/>
        </w:rPr>
      </w:pPr>
      <w:r w:rsidRPr="0090080A">
        <w:rPr>
          <w:rFonts w:ascii="Verdana" w:hAnsi="Verdana" w:cs="Arial"/>
          <w:i/>
          <w:iCs/>
          <w:sz w:val="22"/>
          <w:szCs w:val="22"/>
          <w:lang w:eastAsia="es-ES"/>
        </w:rPr>
        <w:t xml:space="preserve">La suscripción de pactos arbitrales y/o cláusulas compromisorias de alcance nacional e internacional debe corresponder a una </w:t>
      </w:r>
      <w:r w:rsidRPr="0090080A">
        <w:rPr>
          <w:rFonts w:ascii="Verdana" w:hAnsi="Verdana" w:cs="Arial"/>
          <w:b/>
          <w:bCs/>
          <w:i/>
          <w:iCs/>
          <w:sz w:val="22"/>
          <w:szCs w:val="22"/>
          <w:lang w:eastAsia="es-ES"/>
        </w:rPr>
        <w:t>decisión de gerencia pública</w:t>
      </w:r>
      <w:r w:rsidRPr="0090080A">
        <w:rPr>
          <w:rFonts w:ascii="Verdana" w:hAnsi="Verdana" w:cs="Arial"/>
          <w:i/>
          <w:iCs/>
          <w:sz w:val="22"/>
          <w:szCs w:val="22"/>
          <w:lang w:eastAsia="es-ES"/>
        </w:rPr>
        <w:t>. En consecuencia, cada vez que una entidad u organismo de la Rama Ejecutiva del orden nacional decida suscribir un pacto arbitral o cláusula compromisoria, deberá: </w:t>
      </w:r>
    </w:p>
    <w:p w14:paraId="45926023" w14:textId="6616C88F" w:rsidR="00DB11A3" w:rsidRPr="0090080A" w:rsidRDefault="00DB11A3" w:rsidP="005C0208">
      <w:pPr>
        <w:spacing w:after="240" w:line="276" w:lineRule="auto"/>
        <w:ind w:left="1416"/>
        <w:jc w:val="both"/>
        <w:rPr>
          <w:rFonts w:ascii="Verdana" w:hAnsi="Verdana" w:cs="Arial"/>
          <w:i/>
          <w:iCs/>
          <w:sz w:val="22"/>
          <w:szCs w:val="22"/>
          <w:lang w:eastAsia="es-ES"/>
        </w:rPr>
      </w:pPr>
      <w:r w:rsidRPr="0090080A">
        <w:rPr>
          <w:rFonts w:ascii="Verdana" w:hAnsi="Verdana" w:cs="Arial"/>
          <w:i/>
          <w:iCs/>
          <w:sz w:val="22"/>
          <w:szCs w:val="22"/>
          <w:lang w:eastAsia="es-ES"/>
        </w:rPr>
        <w:t xml:space="preserve">1. Contar con el </w:t>
      </w:r>
      <w:r w:rsidRPr="0090080A">
        <w:rPr>
          <w:rFonts w:ascii="Verdana" w:hAnsi="Verdana" w:cs="Arial"/>
          <w:b/>
          <w:bCs/>
          <w:i/>
          <w:iCs/>
          <w:sz w:val="22"/>
          <w:szCs w:val="22"/>
          <w:lang w:eastAsia="es-ES"/>
        </w:rPr>
        <w:t>previo concepto</w:t>
      </w:r>
      <w:r w:rsidRPr="0090080A">
        <w:rPr>
          <w:rFonts w:ascii="Verdana" w:hAnsi="Verdana" w:cs="Arial"/>
          <w:i/>
          <w:iCs/>
          <w:sz w:val="22"/>
          <w:szCs w:val="22"/>
          <w:lang w:eastAsia="es-ES"/>
        </w:rPr>
        <w:t xml:space="preserve"> de los(las) jefes de oficina jurídica, direcciones jurídicas o quienes hagan sus veces, sobre la </w:t>
      </w:r>
      <w:r w:rsidRPr="0090080A">
        <w:rPr>
          <w:rFonts w:ascii="Verdana" w:hAnsi="Verdana" w:cs="Arial"/>
          <w:b/>
          <w:bCs/>
          <w:i/>
          <w:iCs/>
          <w:sz w:val="22"/>
          <w:szCs w:val="22"/>
          <w:lang w:eastAsia="es-ES"/>
        </w:rPr>
        <w:t>conveniencia jurídica y económica</w:t>
      </w:r>
      <w:r w:rsidRPr="0090080A">
        <w:rPr>
          <w:rFonts w:ascii="Verdana" w:hAnsi="Verdana" w:cs="Arial"/>
          <w:i/>
          <w:iCs/>
          <w:sz w:val="22"/>
          <w:szCs w:val="22"/>
          <w:lang w:eastAsia="es-ES"/>
        </w:rPr>
        <w:t>. </w:t>
      </w:r>
    </w:p>
    <w:p w14:paraId="6FC7A021" w14:textId="3875026B" w:rsidR="00DB11A3" w:rsidRPr="0090080A" w:rsidRDefault="00DB11A3" w:rsidP="005C0208">
      <w:pPr>
        <w:spacing w:after="240" w:line="276" w:lineRule="auto"/>
        <w:ind w:left="1416"/>
        <w:jc w:val="both"/>
        <w:rPr>
          <w:rFonts w:ascii="Verdana" w:hAnsi="Verdana" w:cs="Arial"/>
          <w:i/>
          <w:iCs/>
          <w:sz w:val="22"/>
          <w:szCs w:val="22"/>
          <w:lang w:eastAsia="es-ES"/>
        </w:rPr>
      </w:pPr>
      <w:r w:rsidRPr="0090080A">
        <w:rPr>
          <w:rFonts w:ascii="Verdana" w:hAnsi="Verdana" w:cs="Arial"/>
          <w:i/>
          <w:iCs/>
          <w:sz w:val="22"/>
          <w:szCs w:val="22"/>
          <w:lang w:eastAsia="es-ES"/>
        </w:rPr>
        <w:t xml:space="preserve">2. Documentar dentro de los antecedentes contractuales las </w:t>
      </w:r>
      <w:r w:rsidRPr="0090080A">
        <w:rPr>
          <w:rFonts w:ascii="Verdana" w:hAnsi="Verdana" w:cs="Arial"/>
          <w:b/>
          <w:bCs/>
          <w:i/>
          <w:iCs/>
          <w:sz w:val="22"/>
          <w:szCs w:val="22"/>
          <w:lang w:eastAsia="es-ES"/>
        </w:rPr>
        <w:t>razones que justifican esta decisión</w:t>
      </w:r>
      <w:r w:rsidRPr="0090080A">
        <w:rPr>
          <w:rFonts w:ascii="Verdana" w:hAnsi="Verdana" w:cs="Arial"/>
          <w:i/>
          <w:iCs/>
          <w:sz w:val="22"/>
          <w:szCs w:val="22"/>
          <w:lang w:eastAsia="es-ES"/>
        </w:rPr>
        <w:t>. </w:t>
      </w:r>
    </w:p>
    <w:p w14:paraId="1B98FF0F" w14:textId="2596567B" w:rsidR="00DB11A3" w:rsidRPr="0090080A" w:rsidRDefault="00DB11A3" w:rsidP="005C0208">
      <w:pPr>
        <w:spacing w:after="240" w:line="276" w:lineRule="auto"/>
        <w:ind w:left="1416"/>
        <w:jc w:val="both"/>
        <w:rPr>
          <w:rFonts w:ascii="Verdana" w:hAnsi="Verdana" w:cs="Arial"/>
          <w:i/>
          <w:iCs/>
          <w:sz w:val="22"/>
          <w:szCs w:val="22"/>
          <w:lang w:eastAsia="es-ES"/>
        </w:rPr>
      </w:pPr>
      <w:r w:rsidRPr="0090080A">
        <w:rPr>
          <w:rFonts w:ascii="Verdana" w:hAnsi="Verdana" w:cs="Arial"/>
          <w:i/>
          <w:iCs/>
          <w:sz w:val="22"/>
          <w:szCs w:val="22"/>
          <w:lang w:eastAsia="es-ES"/>
        </w:rPr>
        <w:t xml:space="preserve">3. Establecer en el pacto arbitral o en la cláusula compromisoria una </w:t>
      </w:r>
      <w:r w:rsidRPr="0090080A">
        <w:rPr>
          <w:rFonts w:ascii="Verdana" w:hAnsi="Verdana" w:cs="Arial"/>
          <w:b/>
          <w:bCs/>
          <w:i/>
          <w:iCs/>
          <w:sz w:val="22"/>
          <w:szCs w:val="22"/>
          <w:lang w:eastAsia="es-ES"/>
        </w:rPr>
        <w:t>disposición que garantice la participación de al menos una mujer como árbitro en el tribunal de arbitraje</w:t>
      </w:r>
      <w:r w:rsidRPr="0090080A">
        <w:rPr>
          <w:rFonts w:ascii="Verdana" w:hAnsi="Verdana" w:cs="Arial"/>
          <w:i/>
          <w:iCs/>
          <w:sz w:val="22"/>
          <w:szCs w:val="22"/>
          <w:lang w:eastAsia="es-ES"/>
        </w:rPr>
        <w:t>. </w:t>
      </w:r>
    </w:p>
    <w:p w14:paraId="09044A3B" w14:textId="013B51F6" w:rsidR="00DB11A3" w:rsidRPr="0090080A" w:rsidRDefault="00DB11A3" w:rsidP="005C0208">
      <w:pPr>
        <w:spacing w:after="240" w:line="276" w:lineRule="auto"/>
        <w:ind w:left="1416"/>
        <w:jc w:val="both"/>
        <w:rPr>
          <w:rFonts w:ascii="Verdana" w:hAnsi="Verdana" w:cs="Arial"/>
          <w:i/>
          <w:iCs/>
          <w:sz w:val="22"/>
          <w:szCs w:val="22"/>
          <w:lang w:eastAsia="es-ES"/>
        </w:rPr>
      </w:pPr>
      <w:r w:rsidRPr="0090080A">
        <w:rPr>
          <w:rFonts w:ascii="Verdana" w:hAnsi="Verdana" w:cs="Arial"/>
          <w:i/>
          <w:iCs/>
          <w:sz w:val="22"/>
          <w:szCs w:val="22"/>
          <w:lang w:eastAsia="es-ES"/>
        </w:rPr>
        <w:lastRenderedPageBreak/>
        <w:t xml:space="preserve">4. Contar con el </w:t>
      </w:r>
      <w:r w:rsidRPr="0090080A">
        <w:rPr>
          <w:rFonts w:ascii="Verdana" w:hAnsi="Verdana" w:cs="Arial"/>
          <w:b/>
          <w:bCs/>
          <w:i/>
          <w:iCs/>
          <w:sz w:val="22"/>
          <w:szCs w:val="22"/>
          <w:lang w:eastAsia="es-ES"/>
        </w:rPr>
        <w:t>concepto previo del director(a) de la Agencia Nacional de Defensa Jurídica del Estado</w:t>
      </w:r>
      <w:r w:rsidRPr="0090080A">
        <w:rPr>
          <w:rFonts w:ascii="Verdana" w:hAnsi="Verdana" w:cs="Arial"/>
          <w:i/>
          <w:iCs/>
          <w:sz w:val="22"/>
          <w:szCs w:val="22"/>
          <w:lang w:eastAsia="es-ES"/>
        </w:rPr>
        <w:t>. </w:t>
      </w:r>
    </w:p>
    <w:p w14:paraId="390B85B7" w14:textId="1CE40F6F" w:rsidR="00DB11A3" w:rsidRPr="0090080A" w:rsidRDefault="00DB11A3" w:rsidP="005C0208">
      <w:pPr>
        <w:spacing w:after="240" w:line="276" w:lineRule="auto"/>
        <w:ind w:left="1416"/>
        <w:jc w:val="both"/>
        <w:rPr>
          <w:rFonts w:ascii="Verdana" w:hAnsi="Verdana" w:cs="Arial"/>
          <w:i/>
          <w:iCs/>
          <w:sz w:val="22"/>
          <w:szCs w:val="22"/>
          <w:lang w:eastAsia="es-ES"/>
        </w:rPr>
      </w:pPr>
      <w:r w:rsidRPr="0090080A">
        <w:rPr>
          <w:rFonts w:ascii="Verdana" w:hAnsi="Verdana" w:cs="Arial"/>
          <w:i/>
          <w:iCs/>
          <w:sz w:val="22"/>
          <w:szCs w:val="22"/>
          <w:lang w:eastAsia="es-ES"/>
        </w:rPr>
        <w:t xml:space="preserve">5. </w:t>
      </w:r>
      <w:r w:rsidRPr="0090080A">
        <w:rPr>
          <w:rFonts w:ascii="Verdana" w:hAnsi="Verdana" w:cs="Arial"/>
          <w:b/>
          <w:bCs/>
          <w:i/>
          <w:iCs/>
          <w:sz w:val="22"/>
          <w:szCs w:val="22"/>
          <w:lang w:eastAsia="es-ES"/>
        </w:rPr>
        <w:t xml:space="preserve">Abstenerse </w:t>
      </w:r>
      <w:r w:rsidRPr="0090080A">
        <w:rPr>
          <w:rFonts w:ascii="Verdana" w:hAnsi="Verdana" w:cs="Arial"/>
          <w:i/>
          <w:iCs/>
          <w:sz w:val="22"/>
          <w:szCs w:val="22"/>
          <w:lang w:eastAsia="es-ES"/>
        </w:rPr>
        <w:t xml:space="preserve">de suscribir en los pactos arbitrales o cláusulas compromisorias de alcance internacional, que las controversias comerciales se sometan al </w:t>
      </w:r>
      <w:r w:rsidRPr="0090080A">
        <w:rPr>
          <w:rFonts w:ascii="Verdana" w:hAnsi="Verdana" w:cs="Arial"/>
          <w:b/>
          <w:bCs/>
          <w:i/>
          <w:iCs/>
          <w:sz w:val="22"/>
          <w:szCs w:val="22"/>
          <w:lang w:eastAsia="es-ES"/>
        </w:rPr>
        <w:t>Centro Internacional de Arreglos de Diferencias relativas a Inversiones</w:t>
      </w:r>
      <w:r w:rsidRPr="0090080A">
        <w:rPr>
          <w:rFonts w:ascii="Verdana" w:hAnsi="Verdana" w:cs="Arial"/>
          <w:i/>
          <w:iCs/>
          <w:sz w:val="22"/>
          <w:szCs w:val="22"/>
          <w:lang w:eastAsia="es-ES"/>
        </w:rPr>
        <w:t xml:space="preserve"> (</w:t>
      </w:r>
      <w:proofErr w:type="spellStart"/>
      <w:r w:rsidRPr="0090080A">
        <w:rPr>
          <w:rFonts w:ascii="Verdana" w:hAnsi="Verdana" w:cs="Arial"/>
          <w:i/>
          <w:iCs/>
          <w:sz w:val="22"/>
          <w:szCs w:val="22"/>
          <w:lang w:eastAsia="es-ES"/>
        </w:rPr>
        <w:t>Ciadi</w:t>
      </w:r>
      <w:proofErr w:type="spellEnd"/>
      <w:r w:rsidRPr="0090080A">
        <w:rPr>
          <w:rFonts w:ascii="Verdana" w:hAnsi="Verdana" w:cs="Arial"/>
          <w:i/>
          <w:iCs/>
          <w:sz w:val="22"/>
          <w:szCs w:val="22"/>
          <w:lang w:eastAsia="es-ES"/>
        </w:rPr>
        <w:t>).”</w:t>
      </w:r>
    </w:p>
    <w:p w14:paraId="10C8A4B9" w14:textId="77777777" w:rsidR="00E85584" w:rsidRDefault="002165B1" w:rsidP="002165B1">
      <w:pPr>
        <w:spacing w:after="240" w:line="276" w:lineRule="auto"/>
        <w:jc w:val="both"/>
        <w:rPr>
          <w:rFonts w:ascii="Verdana" w:hAnsi="Verdana" w:cs="Arial"/>
          <w:lang w:eastAsia="es-ES"/>
        </w:rPr>
      </w:pPr>
      <w:r>
        <w:rPr>
          <w:rFonts w:ascii="Verdana" w:hAnsi="Verdana" w:cs="Arial"/>
          <w:lang w:eastAsia="es-ES"/>
        </w:rPr>
        <w:t>Conforme</w:t>
      </w:r>
      <w:r w:rsidRPr="002165B1">
        <w:rPr>
          <w:rFonts w:ascii="Verdana" w:hAnsi="Verdana" w:cs="Arial"/>
          <w:lang w:eastAsia="es-ES"/>
        </w:rPr>
        <w:t xml:space="preserve"> a lo anterior, se </w:t>
      </w:r>
      <w:r>
        <w:rPr>
          <w:rFonts w:ascii="Verdana" w:hAnsi="Verdana" w:cs="Arial"/>
          <w:lang w:eastAsia="es-ES"/>
        </w:rPr>
        <w:t>observa que hay 1 elemento que escasea en la cláusula compromisoria d</w:t>
      </w:r>
      <w:r w:rsidRPr="002165B1">
        <w:rPr>
          <w:rFonts w:ascii="Verdana" w:hAnsi="Verdana" w:cs="Arial"/>
          <w:lang w:eastAsia="es-ES"/>
        </w:rPr>
        <w:t>el documento de Condiciones Generales</w:t>
      </w:r>
      <w:r w:rsidR="00D31AB6">
        <w:rPr>
          <w:rFonts w:ascii="Verdana" w:hAnsi="Verdana" w:cs="Arial"/>
          <w:lang w:eastAsia="es-ES"/>
        </w:rPr>
        <w:t>, y es la disposición</w:t>
      </w:r>
      <w:r>
        <w:rPr>
          <w:rFonts w:ascii="Verdana" w:hAnsi="Verdana" w:cs="Arial"/>
          <w:lang w:eastAsia="es-ES"/>
        </w:rPr>
        <w:t xml:space="preserve"> que garantice la participación de al menos una mujer como árbitro en el tribunal de arbitraje.</w:t>
      </w:r>
      <w:r w:rsidR="00D31AB6">
        <w:rPr>
          <w:rFonts w:ascii="Verdana" w:hAnsi="Verdana" w:cs="Arial"/>
          <w:lang w:eastAsia="es-ES"/>
        </w:rPr>
        <w:t xml:space="preserve"> </w:t>
      </w:r>
    </w:p>
    <w:p w14:paraId="308A0185" w14:textId="24BCFCC3" w:rsidR="00D31AB6" w:rsidRDefault="00D31AB6" w:rsidP="002165B1">
      <w:pPr>
        <w:spacing w:after="240" w:line="276" w:lineRule="auto"/>
        <w:jc w:val="both"/>
        <w:rPr>
          <w:rFonts w:ascii="Verdana" w:hAnsi="Verdana" w:cs="Arial"/>
          <w:lang w:eastAsia="es-ES"/>
        </w:rPr>
      </w:pPr>
      <w:r>
        <w:rPr>
          <w:rFonts w:ascii="Verdana" w:hAnsi="Verdana" w:cs="Arial"/>
          <w:lang w:eastAsia="es-ES"/>
        </w:rPr>
        <w:t>No obstante, la disposición que consagra el mecanismo arbitral en las Condiciones Generales establece en el literal (c) que sólo habrá un árbitro, de modo que, al no estar conformado por varios árbitros, la disposición no sería del todo incompatible con la Directiva Presidencial 5 de 2025, ya que el requisito establecido para garantizar la paridad de género tendría aplicación en los casos de un tribunal arbitral compuesto por dos (2) o más árbitros.</w:t>
      </w:r>
      <w:r w:rsidR="00E85584">
        <w:rPr>
          <w:rFonts w:ascii="Verdana" w:hAnsi="Verdana" w:cs="Arial"/>
          <w:lang w:eastAsia="es-ES"/>
        </w:rPr>
        <w:t xml:space="preserve"> De lo contrario, en el evento de considerar que la exigencia de la Directiva consiste en que con independencia del número de árbitros se debe garantizar que haya una mujer y que, por lo tanto, ante un tribunal compuesto por un único árbitro este deba ser mujer, el documento de Condiciones Generales sería incompatible con dicha Directiva y, por lo tanto, no podría ser suscrito por el Ministerio de Ambiente y Desarrollo Sostenible.</w:t>
      </w:r>
    </w:p>
    <w:p w14:paraId="43B627EE" w14:textId="61486C04" w:rsidR="00160CD0" w:rsidRDefault="00160CD0" w:rsidP="002165B1">
      <w:pPr>
        <w:spacing w:after="240" w:line="276" w:lineRule="auto"/>
        <w:jc w:val="both"/>
        <w:rPr>
          <w:rFonts w:ascii="Verdana" w:hAnsi="Verdana" w:cs="Arial"/>
          <w:lang w:eastAsia="es-ES"/>
        </w:rPr>
      </w:pPr>
      <w:r>
        <w:rPr>
          <w:rFonts w:ascii="Verdana" w:hAnsi="Verdana" w:cs="Arial"/>
          <w:lang w:eastAsia="es-ES"/>
        </w:rPr>
        <w:t xml:space="preserve">En todo caso, sería recomendable que, en el proceso de escogencia y evaluación de los posibles árbitros que serán seleccionados para la confirmación del Tribunal, involucre a árbitras mujeres, por las razones mencionadas en el anterior párrafo. </w:t>
      </w:r>
    </w:p>
    <w:p w14:paraId="19280E58" w14:textId="3DA1788E" w:rsidR="003964AD" w:rsidRDefault="003964AD" w:rsidP="002165B1">
      <w:pPr>
        <w:spacing w:after="240" w:line="276" w:lineRule="auto"/>
        <w:jc w:val="both"/>
        <w:rPr>
          <w:rFonts w:ascii="Verdana" w:hAnsi="Verdana" w:cs="Arial"/>
          <w:lang w:eastAsia="es-ES"/>
        </w:rPr>
      </w:pPr>
      <w:r>
        <w:rPr>
          <w:rFonts w:ascii="Verdana" w:hAnsi="Verdana" w:cs="Arial"/>
          <w:lang w:eastAsia="es-ES"/>
        </w:rPr>
        <w:t>En ese sentido, dado que el documento de Condiciones Generales no puede modificarse, ya que no es objeto de negociación, sólo sería compatible con la Directiva Presidencial 5 de 2025 bajo la anterior interpretació</w:t>
      </w:r>
      <w:r w:rsidR="000F70C8">
        <w:rPr>
          <w:rFonts w:ascii="Verdana" w:hAnsi="Verdana" w:cs="Arial"/>
          <w:lang w:eastAsia="es-ES"/>
        </w:rPr>
        <w:t>n</w:t>
      </w:r>
      <w:r>
        <w:rPr>
          <w:rFonts w:ascii="Verdana" w:hAnsi="Verdana" w:cs="Arial"/>
          <w:lang w:eastAsia="es-ES"/>
        </w:rPr>
        <w:t>.</w:t>
      </w:r>
      <w:r w:rsidR="000F70C8">
        <w:rPr>
          <w:rFonts w:ascii="Verdana" w:hAnsi="Verdana" w:cs="Arial"/>
          <w:lang w:eastAsia="es-ES"/>
        </w:rPr>
        <w:t xml:space="preserve"> </w:t>
      </w:r>
    </w:p>
    <w:p w14:paraId="1ECBE9E0" w14:textId="711C2D4E" w:rsidR="00275686" w:rsidRPr="00275686" w:rsidRDefault="00275686" w:rsidP="002165B1">
      <w:pPr>
        <w:spacing w:after="240" w:line="276" w:lineRule="auto"/>
        <w:jc w:val="both"/>
        <w:rPr>
          <w:rFonts w:ascii="Verdana" w:hAnsi="Verdana" w:cs="Arial"/>
          <w:lang w:eastAsia="es-ES"/>
        </w:rPr>
      </w:pPr>
      <w:r>
        <w:rPr>
          <w:rFonts w:ascii="Verdana" w:hAnsi="Verdana" w:cs="Arial"/>
          <w:lang w:eastAsia="es-ES"/>
        </w:rPr>
        <w:lastRenderedPageBreak/>
        <w:t xml:space="preserve">Adicionalmente, se evidencia que el elemento de abstención que plantea el numeral 5 de la Directiva es compatible con la forma en la cual está redactada la cláusula compromisoria, en la medida que </w:t>
      </w:r>
      <w:r w:rsidRPr="00275686">
        <w:rPr>
          <w:rFonts w:ascii="Verdana" w:hAnsi="Verdana" w:cs="Arial"/>
          <w:i/>
          <w:iCs/>
          <w:lang w:eastAsia="es-ES"/>
        </w:rPr>
        <w:t>“[l]a autoridad</w:t>
      </w:r>
      <w:r w:rsidRPr="0043733D">
        <w:rPr>
          <w:rFonts w:ascii="Verdana" w:hAnsi="Verdana" w:cs="Arial"/>
          <w:i/>
          <w:iCs/>
          <w:lang w:eastAsia="es-ES"/>
        </w:rPr>
        <w:t xml:space="preserve"> </w:t>
      </w:r>
      <w:proofErr w:type="spellStart"/>
      <w:r w:rsidRPr="0043733D">
        <w:rPr>
          <w:rFonts w:ascii="Verdana" w:hAnsi="Verdana" w:cs="Arial"/>
          <w:i/>
          <w:iCs/>
          <w:lang w:eastAsia="es-ES"/>
        </w:rPr>
        <w:t>designante</w:t>
      </w:r>
      <w:proofErr w:type="spellEnd"/>
      <w:r w:rsidRPr="0043733D">
        <w:rPr>
          <w:rFonts w:ascii="Verdana" w:hAnsi="Verdana" w:cs="Arial"/>
          <w:i/>
          <w:iCs/>
          <w:lang w:eastAsia="es-ES"/>
        </w:rPr>
        <w:t xml:space="preserve"> será el </w:t>
      </w:r>
      <w:proofErr w:type="gramStart"/>
      <w:r w:rsidRPr="0043733D">
        <w:rPr>
          <w:rFonts w:ascii="Verdana" w:hAnsi="Verdana" w:cs="Arial"/>
          <w:i/>
          <w:iCs/>
          <w:lang w:eastAsia="es-ES"/>
        </w:rPr>
        <w:t>Secretario General</w:t>
      </w:r>
      <w:proofErr w:type="gramEnd"/>
      <w:r w:rsidRPr="0043733D">
        <w:rPr>
          <w:rFonts w:ascii="Verdana" w:hAnsi="Verdana" w:cs="Arial"/>
          <w:i/>
          <w:iCs/>
          <w:lang w:eastAsia="es-ES"/>
        </w:rPr>
        <w:t xml:space="preserve"> de la Corte Permanente de Arbitraje, y el número de árbitros será uno. Salvo acuerdo en contrario en el Acuerdo Marco del ERPA o en cualquier Acuerdo de Fase del ERPA, </w:t>
      </w:r>
      <w:r w:rsidRPr="00275686">
        <w:rPr>
          <w:rFonts w:ascii="Verdana" w:hAnsi="Verdana" w:cs="Arial"/>
          <w:i/>
          <w:iCs/>
          <w:lang w:eastAsia="es-ES"/>
        </w:rPr>
        <w:t>la sede del arbitraje será Londres.”</w:t>
      </w:r>
      <w:r>
        <w:rPr>
          <w:rFonts w:ascii="Verdana" w:hAnsi="Verdana" w:cs="Arial"/>
          <w:b/>
          <w:bCs/>
          <w:i/>
          <w:iCs/>
          <w:lang w:eastAsia="es-ES"/>
        </w:rPr>
        <w:t xml:space="preserve"> </w:t>
      </w:r>
      <w:r w:rsidRPr="00275686">
        <w:rPr>
          <w:rFonts w:ascii="Verdana" w:hAnsi="Verdana" w:cs="Arial"/>
          <w:lang w:eastAsia="es-ES"/>
        </w:rPr>
        <w:t>Por lo tanto, al no establecer que las controversias comerciales se sometan al Centro Internacional de Arreglos de Diferencias relativas a Inversiones (</w:t>
      </w:r>
      <w:proofErr w:type="spellStart"/>
      <w:r w:rsidRPr="00275686">
        <w:rPr>
          <w:rFonts w:ascii="Verdana" w:hAnsi="Verdana" w:cs="Arial"/>
          <w:lang w:eastAsia="es-ES"/>
        </w:rPr>
        <w:t>Ciadi</w:t>
      </w:r>
      <w:proofErr w:type="spellEnd"/>
      <w:r w:rsidRPr="00275686">
        <w:rPr>
          <w:rFonts w:ascii="Verdana" w:hAnsi="Verdana" w:cs="Arial"/>
          <w:lang w:eastAsia="es-ES"/>
        </w:rPr>
        <w:t>), la cláusula compromisoria es compatible con la Directiva.</w:t>
      </w:r>
    </w:p>
    <w:p w14:paraId="1F665610" w14:textId="61D22223" w:rsidR="003964AD" w:rsidRDefault="000F70C8" w:rsidP="002165B1">
      <w:pPr>
        <w:spacing w:after="240" w:line="276" w:lineRule="auto"/>
        <w:jc w:val="both"/>
        <w:rPr>
          <w:rFonts w:ascii="Verdana" w:hAnsi="Verdana" w:cs="Arial"/>
          <w:lang w:eastAsia="es-ES"/>
        </w:rPr>
      </w:pPr>
      <w:r>
        <w:rPr>
          <w:rFonts w:ascii="Verdana" w:hAnsi="Verdana" w:cs="Arial"/>
          <w:lang w:eastAsia="es-ES"/>
        </w:rPr>
        <w:t>Con respecto a los demás elementos</w:t>
      </w:r>
      <w:r w:rsidR="00275686">
        <w:rPr>
          <w:rFonts w:ascii="Verdana" w:hAnsi="Verdana" w:cs="Arial"/>
          <w:lang w:eastAsia="es-ES"/>
        </w:rPr>
        <w:t xml:space="preserve"> de que trata la Directiva Presidencial (concepto jurídico OAJ, justificación en antecedentes contractuales y concepto ANDJE), se evidencia que no versan sobre la redacción de la cláusula compromisoria sino sobre </w:t>
      </w:r>
      <w:r w:rsidR="006C0824">
        <w:rPr>
          <w:rFonts w:ascii="Verdana" w:hAnsi="Verdana" w:cs="Arial"/>
          <w:lang w:eastAsia="es-ES"/>
        </w:rPr>
        <w:t>gestiones</w:t>
      </w:r>
      <w:r w:rsidR="00275686">
        <w:rPr>
          <w:rFonts w:ascii="Verdana" w:hAnsi="Verdana" w:cs="Arial"/>
          <w:lang w:eastAsia="es-ES"/>
        </w:rPr>
        <w:t xml:space="preserve"> adicionales que han de </w:t>
      </w:r>
      <w:r w:rsidR="006C0824">
        <w:rPr>
          <w:rFonts w:ascii="Verdana" w:hAnsi="Verdana" w:cs="Arial"/>
          <w:lang w:eastAsia="es-ES"/>
        </w:rPr>
        <w:t>efectuarse</w:t>
      </w:r>
      <w:r w:rsidR="00275686">
        <w:rPr>
          <w:rFonts w:ascii="Verdana" w:hAnsi="Verdana" w:cs="Arial"/>
          <w:lang w:eastAsia="es-ES"/>
        </w:rPr>
        <w:t xml:space="preserve"> antes de la suscripción de </w:t>
      </w:r>
      <w:proofErr w:type="gramStart"/>
      <w:r w:rsidR="00275686">
        <w:rPr>
          <w:rFonts w:ascii="Verdana" w:hAnsi="Verdana" w:cs="Arial"/>
          <w:lang w:eastAsia="es-ES"/>
        </w:rPr>
        <w:t>la misma</w:t>
      </w:r>
      <w:proofErr w:type="gramEnd"/>
      <w:r w:rsidR="00275686">
        <w:rPr>
          <w:rFonts w:ascii="Verdana" w:hAnsi="Verdana" w:cs="Arial"/>
          <w:lang w:eastAsia="es-ES"/>
        </w:rPr>
        <w:t xml:space="preserve"> por parte de la Entidad de orden nacional. En ese sentido, no son aspectos que deban ser valorados en perspectiva de compatibilidad frente a la cláusula compromisoria, </w:t>
      </w:r>
      <w:r w:rsidR="006C0824">
        <w:rPr>
          <w:rFonts w:ascii="Verdana" w:hAnsi="Verdana" w:cs="Arial"/>
          <w:lang w:eastAsia="es-ES"/>
        </w:rPr>
        <w:t xml:space="preserve">sino que deben ser </w:t>
      </w:r>
      <w:proofErr w:type="gramStart"/>
      <w:r w:rsidR="006C0824">
        <w:rPr>
          <w:rFonts w:ascii="Verdana" w:hAnsi="Verdana" w:cs="Arial"/>
          <w:lang w:eastAsia="es-ES"/>
        </w:rPr>
        <w:t>pasos a cumplir</w:t>
      </w:r>
      <w:proofErr w:type="gramEnd"/>
      <w:r w:rsidR="006C0824">
        <w:rPr>
          <w:rFonts w:ascii="Verdana" w:hAnsi="Verdana" w:cs="Arial"/>
          <w:lang w:eastAsia="es-ES"/>
        </w:rPr>
        <w:t xml:space="preserve"> para viabilizar la suscripción de la cláusula compromisoria</w:t>
      </w:r>
      <w:r w:rsidR="00275686">
        <w:rPr>
          <w:rFonts w:ascii="Verdana" w:hAnsi="Verdana" w:cs="Arial"/>
          <w:lang w:eastAsia="es-ES"/>
        </w:rPr>
        <w:t>.</w:t>
      </w:r>
    </w:p>
    <w:p w14:paraId="59039B2A" w14:textId="67240F31" w:rsidR="00262BA0" w:rsidRPr="00262BA0" w:rsidRDefault="00262BA0" w:rsidP="00262BA0">
      <w:pPr>
        <w:pStyle w:val="Prrafodelista"/>
        <w:numPr>
          <w:ilvl w:val="0"/>
          <w:numId w:val="49"/>
        </w:numPr>
        <w:spacing w:after="240" w:line="276" w:lineRule="auto"/>
        <w:jc w:val="both"/>
        <w:rPr>
          <w:rFonts w:ascii="Verdana" w:hAnsi="Verdana" w:cs="Arial"/>
          <w:b/>
          <w:bCs/>
          <w:lang w:eastAsia="es-ES"/>
        </w:rPr>
      </w:pPr>
      <w:r w:rsidRPr="00262BA0">
        <w:rPr>
          <w:rFonts w:ascii="Verdana" w:hAnsi="Verdana" w:cs="Arial"/>
          <w:b/>
          <w:bCs/>
          <w:lang w:eastAsia="es-ES"/>
        </w:rPr>
        <w:t>De la normativa aplicable para determinar el alcance de los pactos arbitrales en Colombia:</w:t>
      </w:r>
    </w:p>
    <w:p w14:paraId="75072F0C" w14:textId="0504A80A" w:rsidR="00262BA0" w:rsidRDefault="00262BA0" w:rsidP="00262BA0">
      <w:pPr>
        <w:spacing w:after="240" w:line="276" w:lineRule="auto"/>
        <w:jc w:val="both"/>
        <w:rPr>
          <w:rFonts w:ascii="Verdana" w:hAnsi="Verdana" w:cs="Arial"/>
          <w:lang w:eastAsia="es-ES"/>
        </w:rPr>
      </w:pPr>
      <w:r>
        <w:rPr>
          <w:rFonts w:ascii="Verdana" w:hAnsi="Verdana" w:cs="Arial"/>
          <w:lang w:eastAsia="es-ES"/>
        </w:rPr>
        <w:t>En línea con previos conceptos jurídicos emitidos por esta Oficina Asesora Jurídica en la materia</w:t>
      </w:r>
      <w:r w:rsidR="00A64B57">
        <w:rPr>
          <w:rStyle w:val="Refdenotaalpie"/>
          <w:rFonts w:ascii="Verdana" w:hAnsi="Verdana" w:cs="Arial"/>
          <w:lang w:eastAsia="es-ES"/>
        </w:rPr>
        <w:footnoteReference w:id="6"/>
      </w:r>
      <w:r>
        <w:rPr>
          <w:rFonts w:ascii="Verdana" w:hAnsi="Verdana" w:cs="Arial"/>
          <w:lang w:eastAsia="es-ES"/>
        </w:rPr>
        <w:t>, nos permitimos reiterar que l</w:t>
      </w:r>
      <w:r w:rsidRPr="00262BA0">
        <w:rPr>
          <w:rFonts w:ascii="Verdana" w:hAnsi="Verdana" w:cs="Arial"/>
          <w:lang w:eastAsia="es-ES"/>
        </w:rPr>
        <w:t>a Ley 80 de 1993</w:t>
      </w:r>
      <w:r>
        <w:rPr>
          <w:rFonts w:ascii="Verdana" w:hAnsi="Verdana" w:cs="Arial"/>
          <w:lang w:eastAsia="es-ES"/>
        </w:rPr>
        <w:t xml:space="preserve"> (</w:t>
      </w:r>
      <w:r w:rsidR="0012617D">
        <w:rPr>
          <w:rFonts w:ascii="Verdana" w:hAnsi="Verdana" w:cs="Arial"/>
          <w:lang w:eastAsia="es-ES"/>
        </w:rPr>
        <w:t>p</w:t>
      </w:r>
      <w:r w:rsidRPr="00262BA0">
        <w:rPr>
          <w:rFonts w:ascii="Verdana" w:hAnsi="Verdana" w:cs="Arial"/>
          <w:lang w:eastAsia="es-ES"/>
        </w:rPr>
        <w:t>or la cual se expide el Estatuto General de Contratación de la Administración Pública</w:t>
      </w:r>
      <w:r>
        <w:rPr>
          <w:rFonts w:ascii="Verdana" w:hAnsi="Verdana" w:cs="Arial"/>
          <w:lang w:eastAsia="es-ES"/>
        </w:rPr>
        <w:t>)</w:t>
      </w:r>
      <w:r w:rsidRPr="00262BA0">
        <w:rPr>
          <w:rFonts w:ascii="Verdana" w:hAnsi="Verdana" w:cs="Arial"/>
          <w:lang w:eastAsia="es-ES"/>
        </w:rPr>
        <w:t xml:space="preserve">, señala en su artículo 13, respecto de los contratos estatales, lo siguiente: </w:t>
      </w:r>
    </w:p>
    <w:p w14:paraId="305A6DD9" w14:textId="77777777" w:rsidR="00262BA0" w:rsidRPr="00491D36" w:rsidRDefault="00262BA0" w:rsidP="00262BA0">
      <w:pPr>
        <w:spacing w:after="240" w:line="276" w:lineRule="auto"/>
        <w:ind w:left="708"/>
        <w:jc w:val="both"/>
        <w:rPr>
          <w:rFonts w:ascii="Verdana" w:hAnsi="Verdana" w:cs="Arial"/>
          <w:i/>
          <w:iCs/>
          <w:sz w:val="22"/>
          <w:szCs w:val="22"/>
          <w:lang w:eastAsia="es-ES"/>
        </w:rPr>
      </w:pPr>
      <w:r w:rsidRPr="00491D36">
        <w:rPr>
          <w:rFonts w:ascii="Verdana" w:hAnsi="Verdana" w:cs="Arial"/>
          <w:i/>
          <w:iCs/>
          <w:sz w:val="22"/>
          <w:szCs w:val="22"/>
          <w:lang w:eastAsia="es-ES"/>
        </w:rPr>
        <w:t xml:space="preserve">“Los contratos que celebren las entidades a que se refiere el artículo 2 del presente estatuto se regirán por las disposiciones comerciales y civiles pertinentes, salvo en las materias particularmente reguladas en esta Ley. Los contratos celebrados en el exterior se podrán regir en su ejecución por las reglas del país en donde se hayan suscrito, a menos que deban </w:t>
      </w:r>
      <w:r w:rsidRPr="00491D36">
        <w:rPr>
          <w:rFonts w:ascii="Verdana" w:hAnsi="Verdana" w:cs="Arial"/>
          <w:i/>
          <w:iCs/>
          <w:sz w:val="22"/>
          <w:szCs w:val="22"/>
          <w:lang w:eastAsia="es-ES"/>
        </w:rPr>
        <w:lastRenderedPageBreak/>
        <w:t xml:space="preserve">cumplirse en Colombia. Los contratos que se celebren en Colombia y deban ejecutarse o cumplirse en el extranjero podrán someterse a la ley extranjera.” </w:t>
      </w:r>
    </w:p>
    <w:p w14:paraId="40E38C1E" w14:textId="74832A05" w:rsidR="00262BA0" w:rsidRDefault="00262BA0" w:rsidP="00262BA0">
      <w:pPr>
        <w:spacing w:after="240" w:line="276" w:lineRule="auto"/>
        <w:jc w:val="both"/>
        <w:rPr>
          <w:rFonts w:ascii="Verdana" w:hAnsi="Verdana" w:cs="Arial"/>
          <w:lang w:eastAsia="es-ES"/>
        </w:rPr>
      </w:pPr>
      <w:r w:rsidRPr="00262BA0">
        <w:rPr>
          <w:rFonts w:ascii="Verdana" w:hAnsi="Verdana" w:cs="Arial"/>
          <w:lang w:eastAsia="es-ES"/>
        </w:rPr>
        <w:t>A su vez, la Ley 1150 de 2007</w:t>
      </w:r>
      <w:r>
        <w:rPr>
          <w:rStyle w:val="Refdenotaalpie"/>
          <w:rFonts w:ascii="Verdana" w:hAnsi="Verdana" w:cs="Arial"/>
          <w:lang w:eastAsia="es-ES"/>
        </w:rPr>
        <w:footnoteReference w:id="7"/>
      </w:r>
      <w:r w:rsidRPr="00262BA0">
        <w:rPr>
          <w:rFonts w:ascii="Verdana" w:hAnsi="Verdana" w:cs="Arial"/>
          <w:lang w:eastAsia="es-ES"/>
        </w:rPr>
        <w:t xml:space="preserve">, establece en su artículo 20 lo relacionado con la contratación con organismos internacionales, señalando lo siguiente: </w:t>
      </w:r>
    </w:p>
    <w:p w14:paraId="53C8DEFC" w14:textId="77777777" w:rsidR="00262BA0" w:rsidRPr="00491D36" w:rsidRDefault="00262BA0" w:rsidP="00262BA0">
      <w:pPr>
        <w:spacing w:after="240" w:line="276" w:lineRule="auto"/>
        <w:ind w:left="708"/>
        <w:jc w:val="both"/>
        <w:rPr>
          <w:rFonts w:ascii="Verdana" w:hAnsi="Verdana" w:cs="Arial"/>
          <w:i/>
          <w:iCs/>
          <w:sz w:val="22"/>
          <w:szCs w:val="22"/>
          <w:lang w:eastAsia="es-ES"/>
        </w:rPr>
      </w:pPr>
      <w:r w:rsidRPr="00491D36">
        <w:rPr>
          <w:rFonts w:ascii="Verdana" w:hAnsi="Verdana" w:cs="Arial"/>
          <w:i/>
          <w:iCs/>
          <w:sz w:val="22"/>
          <w:szCs w:val="22"/>
          <w:lang w:eastAsia="es-ES"/>
        </w:rPr>
        <w:t xml:space="preserve">“Los contratos o convenios financiados en su totalidad o en sumas iguales o superiores al cincuenta por ciento (50%) con fondos de los organismos de cooperación, asistencia o ayudas internacionales, podrán someterse a los reglamentos de tales entidades. En caso contrario, se someterán a los procedimientos establecidos en la Ley 80 de 1993. Los recursos de contrapartida vinculados a estas operaciones podrán tener el mismo tratamiento. </w:t>
      </w:r>
    </w:p>
    <w:p w14:paraId="594D0079" w14:textId="77777777" w:rsidR="00262BA0" w:rsidRPr="00491D36" w:rsidRDefault="00262BA0" w:rsidP="00262BA0">
      <w:pPr>
        <w:spacing w:after="240" w:line="276" w:lineRule="auto"/>
        <w:ind w:left="708"/>
        <w:jc w:val="both"/>
        <w:rPr>
          <w:rFonts w:ascii="Verdana" w:hAnsi="Verdana" w:cs="Arial"/>
          <w:i/>
          <w:iCs/>
          <w:sz w:val="22"/>
          <w:szCs w:val="22"/>
          <w:lang w:eastAsia="es-ES"/>
        </w:rPr>
      </w:pPr>
      <w:r w:rsidRPr="00491D36">
        <w:rPr>
          <w:rFonts w:ascii="Verdana" w:hAnsi="Verdana" w:cs="Arial"/>
          <w:i/>
          <w:iCs/>
          <w:sz w:val="22"/>
          <w:szCs w:val="22"/>
          <w:lang w:eastAsia="es-ES"/>
        </w:rPr>
        <w:t xml:space="preserve">Los contratos o convenios celebrados con personas extranjeras de derecho público u organismos de derecho internacional cuyo objeto sea el desarrollo de programas de promoción, prevención y atención en salud; contratos y convenios necesarios para la operación de la OIT; contratos y convenios que se ejecuten en desarrollo del sistema integrado de monitoreo de cultivos ilícitos; contratos y convenios para la operación del programa mundial de alimentos; contratos y convenios para el desarrollo de programas de apoyo educativo a población desplazada y vulnerable adelantados por la Unesco y la OIM; los contratos o convenios financiados con fondos de los organismos multilaterales de crédito y entes gubernamentales extranjeros, podrán someterse a los reglamentos de tales entidades. (…)” </w:t>
      </w:r>
    </w:p>
    <w:p w14:paraId="097C00BC" w14:textId="77777777" w:rsidR="00262BA0" w:rsidRDefault="00262BA0" w:rsidP="00262BA0">
      <w:pPr>
        <w:spacing w:after="240" w:line="276" w:lineRule="auto"/>
        <w:jc w:val="both"/>
        <w:rPr>
          <w:rFonts w:ascii="Verdana" w:hAnsi="Verdana" w:cs="Arial"/>
          <w:lang w:eastAsia="es-ES"/>
        </w:rPr>
      </w:pPr>
      <w:r w:rsidRPr="00262BA0">
        <w:rPr>
          <w:rFonts w:ascii="Verdana" w:hAnsi="Verdana" w:cs="Arial"/>
          <w:lang w:eastAsia="es-ES"/>
        </w:rPr>
        <w:t xml:space="preserve">Como puede verse, no existe obstáculo en la ley colombiana para que los contratos celebrados con el Banco Mundial, o financiados por este, se sometan a las reglas de ese organismo internacional. Como fue señalado, entendiendo que el pacto arbitral tiene una dimensión sustantiva y constituye un verdadero contrato, esta habilitación existe frente al acuerdo de arbitrar las disputas. </w:t>
      </w:r>
    </w:p>
    <w:p w14:paraId="48632DA5" w14:textId="20566332" w:rsidR="00262BA0" w:rsidRDefault="00262BA0" w:rsidP="00262BA0">
      <w:pPr>
        <w:spacing w:after="240" w:line="276" w:lineRule="auto"/>
        <w:jc w:val="both"/>
        <w:rPr>
          <w:rFonts w:ascii="Verdana" w:hAnsi="Verdana" w:cs="Arial"/>
          <w:lang w:eastAsia="es-ES"/>
        </w:rPr>
      </w:pPr>
      <w:r w:rsidRPr="00262BA0">
        <w:rPr>
          <w:rFonts w:ascii="Verdana" w:hAnsi="Verdana" w:cs="Arial"/>
          <w:lang w:eastAsia="es-ES"/>
        </w:rPr>
        <w:lastRenderedPageBreak/>
        <w:t>Por su parte, en cuanto a los mecanismos alternativos de solución de conflictos, se tiene el arbitramento, que debe ser objeto de pacto arbitral y la cláusula compromisoria definido en la Ley 1563 de 2012</w:t>
      </w:r>
      <w:r>
        <w:rPr>
          <w:rFonts w:ascii="Verdana" w:hAnsi="Verdana" w:cs="Arial"/>
          <w:lang w:eastAsia="es-ES"/>
        </w:rPr>
        <w:t xml:space="preserve"> (</w:t>
      </w:r>
      <w:r w:rsidR="00DE6D06">
        <w:rPr>
          <w:rFonts w:ascii="Verdana" w:hAnsi="Verdana" w:cs="Arial"/>
          <w:lang w:eastAsia="es-ES"/>
        </w:rPr>
        <w:t>p</w:t>
      </w:r>
      <w:r w:rsidRPr="00262BA0">
        <w:rPr>
          <w:rFonts w:ascii="Verdana" w:hAnsi="Verdana" w:cs="Arial"/>
          <w:lang w:eastAsia="es-ES"/>
        </w:rPr>
        <w:t xml:space="preserve">or medio de la cual se expide el Estatuto de Arbitraje Nacional e Internacional y se dictan otras disposiciones), como: </w:t>
      </w:r>
      <w:r w:rsidRPr="00DE6D06">
        <w:rPr>
          <w:rFonts w:ascii="Verdana" w:hAnsi="Verdana" w:cs="Arial"/>
          <w:i/>
          <w:iCs/>
          <w:lang w:eastAsia="es-ES"/>
        </w:rPr>
        <w:t xml:space="preserve">“(…) un mecanismo alternativo de solución de conflictos mediante el cual las partes defieren a árbitros la solución de una controversia relativa a asuntos de libre disposición o aquellos que la ley autorice” </w:t>
      </w:r>
      <w:r>
        <w:rPr>
          <w:rFonts w:ascii="Verdana" w:hAnsi="Verdana" w:cs="Arial"/>
          <w:lang w:eastAsia="es-ES"/>
        </w:rPr>
        <w:t>(art.</w:t>
      </w:r>
      <w:r w:rsidRPr="00262BA0">
        <w:rPr>
          <w:rFonts w:ascii="Verdana" w:hAnsi="Verdana" w:cs="Arial"/>
          <w:lang w:eastAsia="es-ES"/>
        </w:rPr>
        <w:t xml:space="preserve"> 1</w:t>
      </w:r>
      <w:r>
        <w:rPr>
          <w:rFonts w:ascii="Verdana" w:hAnsi="Verdana" w:cs="Arial"/>
          <w:lang w:eastAsia="es-ES"/>
        </w:rPr>
        <w:t>).</w:t>
      </w:r>
    </w:p>
    <w:p w14:paraId="1543F401" w14:textId="77777777" w:rsidR="00DE6D06" w:rsidRDefault="00262BA0" w:rsidP="00262BA0">
      <w:pPr>
        <w:spacing w:after="240" w:line="276" w:lineRule="auto"/>
        <w:jc w:val="both"/>
        <w:rPr>
          <w:rFonts w:ascii="Verdana" w:hAnsi="Verdana" w:cs="Arial"/>
          <w:lang w:eastAsia="es-ES"/>
        </w:rPr>
      </w:pPr>
      <w:r w:rsidRPr="00262BA0">
        <w:rPr>
          <w:rFonts w:ascii="Verdana" w:hAnsi="Verdana" w:cs="Arial"/>
          <w:lang w:eastAsia="es-ES"/>
        </w:rPr>
        <w:t xml:space="preserve">La referida ley, distingue los arbitramentos de carácter nacional de los de carácter internacional, y establece los supuestos en los que estos últimos aplican. De esta forma, en el artículo 62 de la mencionada ley se regulan las características que de forma concurrente o alternativa suponen acudir a un arbitramento de carácter internacional, así: </w:t>
      </w:r>
    </w:p>
    <w:p w14:paraId="41D1442A" w14:textId="77777777" w:rsidR="00DE6D06" w:rsidRPr="00491D36" w:rsidRDefault="00262BA0" w:rsidP="00DE6D06">
      <w:pPr>
        <w:spacing w:after="240" w:line="276" w:lineRule="auto"/>
        <w:ind w:left="708"/>
        <w:jc w:val="both"/>
        <w:rPr>
          <w:rFonts w:ascii="Verdana" w:hAnsi="Verdana" w:cs="Arial"/>
          <w:i/>
          <w:iCs/>
          <w:sz w:val="22"/>
          <w:szCs w:val="22"/>
          <w:lang w:eastAsia="es-ES"/>
        </w:rPr>
      </w:pPr>
      <w:r w:rsidRPr="00491D36">
        <w:rPr>
          <w:rFonts w:ascii="Verdana" w:hAnsi="Verdana" w:cs="Arial"/>
          <w:i/>
          <w:iCs/>
          <w:sz w:val="22"/>
          <w:szCs w:val="22"/>
          <w:lang w:eastAsia="es-ES"/>
        </w:rPr>
        <w:t xml:space="preserve">“(...) a) Las partes en un acuerdo de arbitraje tengan, al momento de la celebración de ese acuerdo, sus domicilios en Estados diferentes; o b) El lugar del cumplimiento de una parte sustancial de las obligaciones o el lugar con el cual el objeto del litigio tenga una relación más estrecha, está situado fuera del Estado en el cual las partes tienen sus domicilios; o c) La controversia sometida a decisión arbitral afecte los intereses del comercio internacional.” </w:t>
      </w:r>
    </w:p>
    <w:p w14:paraId="302AEF95" w14:textId="77777777" w:rsidR="00DE6D06" w:rsidRDefault="00262BA0" w:rsidP="00262BA0">
      <w:pPr>
        <w:spacing w:after="240" w:line="276" w:lineRule="auto"/>
        <w:jc w:val="both"/>
        <w:rPr>
          <w:rFonts w:ascii="Verdana" w:hAnsi="Verdana" w:cs="Arial"/>
          <w:lang w:eastAsia="es-ES"/>
        </w:rPr>
      </w:pPr>
      <w:r w:rsidRPr="00262BA0">
        <w:rPr>
          <w:rFonts w:ascii="Verdana" w:hAnsi="Verdana" w:cs="Arial"/>
          <w:lang w:eastAsia="es-ES"/>
        </w:rPr>
        <w:t xml:space="preserve">En ese sentido, en aquellos casos en los que no se cumpla alguna de estas condiciones, se entenderá que el arbitramento es de carácter nacional. </w:t>
      </w:r>
    </w:p>
    <w:p w14:paraId="3315A361" w14:textId="77777777" w:rsidR="00DE6D06" w:rsidRDefault="00262BA0" w:rsidP="00262BA0">
      <w:pPr>
        <w:spacing w:after="240" w:line="276" w:lineRule="auto"/>
        <w:jc w:val="both"/>
        <w:rPr>
          <w:rFonts w:ascii="Verdana" w:hAnsi="Verdana" w:cs="Arial"/>
          <w:lang w:eastAsia="es-ES"/>
        </w:rPr>
      </w:pPr>
      <w:r w:rsidRPr="00262BA0">
        <w:rPr>
          <w:rFonts w:ascii="Verdana" w:hAnsi="Verdana" w:cs="Arial"/>
          <w:lang w:eastAsia="es-ES"/>
        </w:rPr>
        <w:t>En línea con lo anterior, el artículo 2.2.1.2.4.4.1. del Decreto 1082 de 2015</w:t>
      </w:r>
      <w:r w:rsidR="00DE6D06">
        <w:rPr>
          <w:rFonts w:ascii="Verdana" w:hAnsi="Verdana" w:cs="Arial"/>
          <w:lang w:eastAsia="es-ES"/>
        </w:rPr>
        <w:t xml:space="preserve"> (p</w:t>
      </w:r>
      <w:r w:rsidR="00DE6D06" w:rsidRPr="00DE6D06">
        <w:rPr>
          <w:rFonts w:ascii="Verdana" w:hAnsi="Verdana" w:cs="Arial"/>
          <w:lang w:eastAsia="es-ES"/>
        </w:rPr>
        <w:t>or medio del cual se expide el decreto único reglamentario del sector Administrativo de Planeación Nacional</w:t>
      </w:r>
      <w:r w:rsidR="00DE6D06">
        <w:rPr>
          <w:rFonts w:ascii="Verdana" w:hAnsi="Verdana" w:cs="Arial"/>
          <w:lang w:eastAsia="es-ES"/>
        </w:rPr>
        <w:t>)</w:t>
      </w:r>
      <w:r w:rsidRPr="00262BA0">
        <w:rPr>
          <w:rFonts w:ascii="Verdana" w:hAnsi="Verdana" w:cs="Arial"/>
          <w:lang w:eastAsia="es-ES"/>
        </w:rPr>
        <w:t xml:space="preserve">, en relación con el régimen aplicable a los contratos y convenios de cooperación internacional, señala que: </w:t>
      </w:r>
    </w:p>
    <w:p w14:paraId="191CEC3D" w14:textId="3311206C" w:rsidR="00262BA0" w:rsidRPr="00491D36" w:rsidRDefault="00262BA0" w:rsidP="00DE6D06">
      <w:pPr>
        <w:spacing w:after="240" w:line="276" w:lineRule="auto"/>
        <w:ind w:left="360"/>
        <w:jc w:val="both"/>
        <w:rPr>
          <w:rFonts w:ascii="Verdana" w:hAnsi="Verdana" w:cs="Arial"/>
          <w:i/>
          <w:iCs/>
          <w:sz w:val="22"/>
          <w:szCs w:val="22"/>
          <w:lang w:eastAsia="es-ES"/>
        </w:rPr>
      </w:pPr>
      <w:r w:rsidRPr="00491D36">
        <w:rPr>
          <w:rFonts w:ascii="Verdana" w:hAnsi="Verdana" w:cs="Arial"/>
          <w:i/>
          <w:iCs/>
          <w:sz w:val="22"/>
          <w:szCs w:val="22"/>
          <w:lang w:eastAsia="es-ES"/>
        </w:rPr>
        <w:t xml:space="preserve">“Los contratos o convenios financiados con fondos de los organismos multilaterales de crédito, entes gubernamentales extranjeros o </w:t>
      </w:r>
      <w:r w:rsidR="00DE6D06" w:rsidRPr="00491D36">
        <w:rPr>
          <w:rFonts w:ascii="Verdana" w:hAnsi="Verdana" w:cs="Arial"/>
          <w:i/>
          <w:iCs/>
          <w:sz w:val="22"/>
          <w:szCs w:val="22"/>
          <w:lang w:eastAsia="es-ES"/>
        </w:rPr>
        <w:t xml:space="preserve">personas extranjeras de derecho público, así como aquellos a los que se refiere el inciso 2 del artículo 20 de la Ley 1150 de 2007, se ejecutarán de conformidad con lo establecido en los tratados internacionales marco y complementarios, y en los convenios celebrados, o sus reglamentos, según sea el caso, incluidos los </w:t>
      </w:r>
      <w:r w:rsidR="00DE6D06" w:rsidRPr="00491D36">
        <w:rPr>
          <w:rFonts w:ascii="Verdana" w:hAnsi="Verdana" w:cs="Arial"/>
          <w:i/>
          <w:iCs/>
          <w:sz w:val="22"/>
          <w:szCs w:val="22"/>
          <w:lang w:eastAsia="es-ES"/>
        </w:rPr>
        <w:lastRenderedPageBreak/>
        <w:t>recursos de aporte de fuente nacional o sus equivalentes vinculados a tales operaciones en dichos documentos, sin que a ellos le sea aplicable el porcentaje señalado en el inciso primero del artículo 20 de la Ley 1150 de 2007. Los contratos con personas extranjeras de derecho público se deben celebrar y ejecutar según se acuerde entre las partes.”</w:t>
      </w:r>
    </w:p>
    <w:p w14:paraId="7F5ECD2E" w14:textId="247AB92F" w:rsidR="00DE6D06" w:rsidRDefault="00DE6D06" w:rsidP="00DE6D06">
      <w:pPr>
        <w:spacing w:after="240" w:line="276" w:lineRule="auto"/>
        <w:jc w:val="both"/>
        <w:rPr>
          <w:rFonts w:ascii="Verdana" w:hAnsi="Verdana" w:cs="Arial"/>
          <w:lang w:eastAsia="es-ES"/>
        </w:rPr>
      </w:pPr>
      <w:r w:rsidRPr="00DE6D06">
        <w:rPr>
          <w:rFonts w:ascii="Verdana" w:hAnsi="Verdana" w:cs="Arial"/>
          <w:lang w:eastAsia="es-ES"/>
        </w:rPr>
        <w:t>Así mismo, el Decreto 1068 de 2015</w:t>
      </w:r>
      <w:r>
        <w:rPr>
          <w:rFonts w:ascii="Verdana" w:hAnsi="Verdana" w:cs="Arial"/>
          <w:lang w:eastAsia="es-ES"/>
        </w:rPr>
        <w:t xml:space="preserve"> (</w:t>
      </w:r>
      <w:r w:rsidRPr="00DE6D06">
        <w:rPr>
          <w:rFonts w:ascii="Verdana" w:hAnsi="Verdana" w:cs="Arial"/>
          <w:lang w:eastAsia="es-ES"/>
        </w:rPr>
        <w:t>por medio del cual se expide el Decreto Único Reglamentario del Sector Hacienda y Crédito Público), con relación a los contratos regulados por reglamentos de entidades de derecho público internacional, establece en su artículo 2.2.5.10. lo siguiente:</w:t>
      </w:r>
    </w:p>
    <w:p w14:paraId="13E13C26" w14:textId="77777777" w:rsidR="00DE6D06" w:rsidRPr="00491D36" w:rsidRDefault="00DE6D06" w:rsidP="00DE6D06">
      <w:pPr>
        <w:spacing w:after="240" w:line="276" w:lineRule="auto"/>
        <w:ind w:left="708"/>
        <w:jc w:val="both"/>
        <w:rPr>
          <w:rFonts w:ascii="Verdana" w:hAnsi="Verdana" w:cs="Arial"/>
          <w:i/>
          <w:iCs/>
          <w:sz w:val="22"/>
          <w:szCs w:val="22"/>
          <w:lang w:eastAsia="es-ES"/>
        </w:rPr>
      </w:pPr>
      <w:r w:rsidRPr="00491D36">
        <w:rPr>
          <w:rFonts w:ascii="Verdana" w:hAnsi="Verdana" w:cs="Arial"/>
          <w:i/>
          <w:iCs/>
          <w:sz w:val="22"/>
          <w:szCs w:val="22"/>
          <w:lang w:eastAsia="es-ES"/>
        </w:rPr>
        <w:t xml:space="preserve">“Conforme a lo establecido en el artículo 20 de la Ley 1150 de 2007 o las normas que lo modifiquen, sustituyan o adicionen, cuando se celebren contratos con personas de derecho público internacional, organismos internacionales de cooperación, asistencia o ayuda internacional o se trate de contratos cuya financiación provenga de operaciones de crédito con organismos multilaterales, tales contratos se podrán someter a los reglamentos de dichas entidades, en todo lo relacionado con los procedimientos para su formación y adjudicación, así como a las cláusulas especiales de ejecución, cumplimiento, pago y ajustes. </w:t>
      </w:r>
    </w:p>
    <w:p w14:paraId="567139ED" w14:textId="337468B2" w:rsidR="00DE6D06" w:rsidRPr="00491D36" w:rsidRDefault="00DE6D06" w:rsidP="00DE6D06">
      <w:pPr>
        <w:spacing w:after="240" w:line="276" w:lineRule="auto"/>
        <w:ind w:left="708"/>
        <w:jc w:val="both"/>
        <w:rPr>
          <w:rFonts w:ascii="Verdana" w:hAnsi="Verdana" w:cs="Arial"/>
          <w:i/>
          <w:iCs/>
          <w:sz w:val="22"/>
          <w:szCs w:val="22"/>
          <w:lang w:eastAsia="es-ES"/>
        </w:rPr>
      </w:pPr>
      <w:r w:rsidRPr="00491D36">
        <w:rPr>
          <w:rFonts w:ascii="Verdana" w:hAnsi="Verdana" w:cs="Arial"/>
          <w:i/>
          <w:iCs/>
          <w:sz w:val="22"/>
          <w:szCs w:val="22"/>
          <w:lang w:eastAsia="es-ES"/>
        </w:rPr>
        <w:t>Los reglamentos de los organismos multilaterales incluyen las leyes de adhesión del país a los tratados o convenios respectivos, los acuerdos constitutivos, los normativos y las disposiciones generales que hayan adoptado dichos organismos para regir los contratos que se celebren con las mismas."</w:t>
      </w:r>
    </w:p>
    <w:p w14:paraId="161F560F" w14:textId="77777777" w:rsidR="00DE6D06" w:rsidRDefault="00DE6D06" w:rsidP="00DE6D06">
      <w:pPr>
        <w:spacing w:after="240" w:line="276" w:lineRule="auto"/>
        <w:jc w:val="both"/>
        <w:rPr>
          <w:rFonts w:ascii="Verdana" w:hAnsi="Verdana" w:cs="Arial"/>
          <w:lang w:eastAsia="es-ES"/>
        </w:rPr>
      </w:pPr>
      <w:r w:rsidRPr="00DE6D06">
        <w:rPr>
          <w:rFonts w:ascii="Verdana" w:hAnsi="Verdana" w:cs="Arial"/>
          <w:lang w:eastAsia="es-ES"/>
        </w:rPr>
        <w:t xml:space="preserve">En conclusión, del marco normativo expuesto se desprende que no existe obstáculo jurídico para que los pactos arbitrales pactados en el marco de contratos o convenios celebrados con organismos internacionales de crédito, o financiados con recursos de estos, se rijan por una ley distinta a la ley nacional colombiana o por los reglamentos de dichos organismos, cuando así se haya acordado entre las partes. </w:t>
      </w:r>
    </w:p>
    <w:p w14:paraId="531ED5A4" w14:textId="48A8FDD9" w:rsidR="00DE6D06" w:rsidRPr="00DE6D06" w:rsidRDefault="00DE6D06" w:rsidP="00DE6D06">
      <w:pPr>
        <w:spacing w:after="240" w:line="276" w:lineRule="auto"/>
        <w:jc w:val="both"/>
        <w:rPr>
          <w:rFonts w:ascii="Verdana" w:hAnsi="Verdana" w:cs="Arial"/>
          <w:lang w:eastAsia="es-ES"/>
        </w:rPr>
      </w:pPr>
      <w:r w:rsidRPr="00DE6D06">
        <w:rPr>
          <w:rFonts w:ascii="Verdana" w:hAnsi="Verdana" w:cs="Arial"/>
          <w:lang w:eastAsia="es-ES"/>
        </w:rPr>
        <w:t xml:space="preserve">En particular, el alcance de los pactos arbitrales en Colombia se encuentra regulado principalmente por la Ley 1563 de 2012, la cual distingue entre arbitraje nacional e internacional a partir de criterios de territorialidad, domicilio y afectación al comercio internacional, normativa que se </w:t>
      </w:r>
      <w:r w:rsidRPr="00DE6D06">
        <w:rPr>
          <w:rFonts w:ascii="Verdana" w:hAnsi="Verdana" w:cs="Arial"/>
          <w:lang w:eastAsia="es-ES"/>
        </w:rPr>
        <w:lastRenderedPageBreak/>
        <w:t>complementa con lo dispuesto en la Ley 80 de 1993, la Ley 1150 de 2007 y sus decretos reglamentarios, que habilitan la sujeción de determinados contratos estatales (especialmente aquellos financiados por organismos multilaterales) a normas extranjeras o reglamentos internacionales.</w:t>
      </w:r>
    </w:p>
    <w:p w14:paraId="6F4BED0C" w14:textId="01F5C045" w:rsidR="00262BA0" w:rsidRPr="00DE6D06" w:rsidRDefault="00262BA0" w:rsidP="00262BA0">
      <w:pPr>
        <w:pStyle w:val="Prrafodelista"/>
        <w:numPr>
          <w:ilvl w:val="0"/>
          <w:numId w:val="49"/>
        </w:numPr>
        <w:spacing w:after="240" w:line="276" w:lineRule="auto"/>
        <w:jc w:val="both"/>
        <w:rPr>
          <w:rFonts w:ascii="Verdana" w:hAnsi="Verdana" w:cs="Arial"/>
          <w:b/>
          <w:bCs/>
          <w:lang w:eastAsia="es-ES"/>
        </w:rPr>
      </w:pPr>
      <w:r w:rsidRPr="00DE6D06">
        <w:rPr>
          <w:rFonts w:ascii="Verdana" w:hAnsi="Verdana" w:cs="Arial"/>
          <w:b/>
          <w:bCs/>
          <w:lang w:eastAsia="es-ES"/>
        </w:rPr>
        <w:t>De la Circular Externa No. 16 de la ANDJE:</w:t>
      </w:r>
    </w:p>
    <w:p w14:paraId="2AC6312B" w14:textId="2882AFA8" w:rsidR="00160CD0" w:rsidRDefault="00160CD0" w:rsidP="00160CD0">
      <w:pPr>
        <w:spacing w:after="240" w:line="276" w:lineRule="auto"/>
        <w:jc w:val="both"/>
        <w:rPr>
          <w:rFonts w:ascii="Verdana" w:hAnsi="Verdana" w:cs="Arial"/>
          <w:lang w:eastAsia="es-ES"/>
        </w:rPr>
      </w:pPr>
      <w:r>
        <w:rPr>
          <w:rFonts w:ascii="Verdana" w:hAnsi="Verdana" w:cs="Arial"/>
          <w:lang w:eastAsia="es-ES"/>
        </w:rPr>
        <w:t xml:space="preserve">Adicionalmente, la Circular Externa No. 16 de la Agencia Nacional de Defensa Jurídica del Estado </w:t>
      </w:r>
      <w:r w:rsidR="00334AFE">
        <w:rPr>
          <w:rFonts w:ascii="Verdana" w:hAnsi="Verdana" w:cs="Arial"/>
          <w:lang w:eastAsia="es-ES"/>
        </w:rPr>
        <w:t>fija unos parámetros a tener en cuenta al acordar y redactar pactos arbitrales o cláusulas compromisorias que, en el presente caso, si bien no aplican para la redacción de la misma (por ser un documento que no es objeto de modificaciones</w:t>
      </w:r>
      <w:r w:rsidR="005E27C3">
        <w:rPr>
          <w:rFonts w:ascii="Verdana" w:hAnsi="Verdana" w:cs="Arial"/>
          <w:lang w:eastAsia="es-ES"/>
        </w:rPr>
        <w:t xml:space="preserve">, lo cual fue objeto de análisis por parte de la Cancillería dando su correspondiente </w:t>
      </w:r>
      <w:proofErr w:type="spellStart"/>
      <w:r w:rsidR="005E27C3">
        <w:rPr>
          <w:rFonts w:ascii="Verdana" w:hAnsi="Verdana" w:cs="Arial"/>
          <w:lang w:eastAsia="es-ES"/>
        </w:rPr>
        <w:t>VoB</w:t>
      </w:r>
      <w:proofErr w:type="spellEnd"/>
      <w:r w:rsidR="005E27C3">
        <w:rPr>
          <w:rFonts w:ascii="Verdana" w:hAnsi="Verdana" w:cs="Arial"/>
          <w:lang w:eastAsia="es-ES"/>
        </w:rPr>
        <w:t xml:space="preserve"> mediante el </w:t>
      </w:r>
      <w:r w:rsidR="005E27C3" w:rsidRPr="005E27C3">
        <w:rPr>
          <w:rFonts w:ascii="Verdana" w:hAnsi="Verdana" w:cs="Arial"/>
          <w:lang w:eastAsia="es-ES"/>
        </w:rPr>
        <w:t>S-GTAJI-25-036637</w:t>
      </w:r>
      <w:r w:rsidR="00334AFE">
        <w:rPr>
          <w:rFonts w:ascii="Verdana" w:hAnsi="Verdana" w:cs="Arial"/>
          <w:lang w:eastAsia="es-ES"/>
        </w:rPr>
        <w:t xml:space="preserve">), si es aplicable para la aceptación de la cláusula en concreto. </w:t>
      </w:r>
    </w:p>
    <w:p w14:paraId="4B4CF682" w14:textId="77777777" w:rsidR="00334AFE" w:rsidRDefault="00334AFE" w:rsidP="00160CD0">
      <w:pPr>
        <w:spacing w:after="240" w:line="276" w:lineRule="auto"/>
        <w:jc w:val="both"/>
        <w:rPr>
          <w:rFonts w:ascii="Verdana" w:hAnsi="Verdana" w:cs="Arial"/>
          <w:lang w:eastAsia="es-ES"/>
        </w:rPr>
      </w:pPr>
      <w:r>
        <w:rPr>
          <w:rFonts w:ascii="Verdana" w:hAnsi="Verdana" w:cs="Arial"/>
          <w:lang w:eastAsia="es-ES"/>
        </w:rPr>
        <w:t>En ese sentido, corresponde analizar la compatibilidad de la cláusula con los estándares que en dicha Circular se fijan, así:</w:t>
      </w:r>
    </w:p>
    <w:p w14:paraId="35071149" w14:textId="23E85DA7" w:rsidR="00334AFE" w:rsidRDefault="00334AFE" w:rsidP="00334AFE">
      <w:pPr>
        <w:pStyle w:val="Prrafodelista"/>
        <w:numPr>
          <w:ilvl w:val="0"/>
          <w:numId w:val="49"/>
        </w:numPr>
        <w:spacing w:after="240" w:line="276" w:lineRule="auto"/>
        <w:jc w:val="both"/>
        <w:rPr>
          <w:rFonts w:ascii="Verdana" w:hAnsi="Verdana" w:cs="Arial"/>
          <w:lang w:eastAsia="es-ES"/>
        </w:rPr>
      </w:pPr>
      <w:r w:rsidRPr="00334AFE">
        <w:rPr>
          <w:rFonts w:ascii="Verdana" w:hAnsi="Verdana" w:cs="Arial"/>
          <w:lang w:eastAsia="es-ES"/>
        </w:rPr>
        <w:t xml:space="preserve">Que </w:t>
      </w:r>
      <w:r>
        <w:rPr>
          <w:rFonts w:ascii="Verdana" w:hAnsi="Verdana" w:cs="Arial"/>
          <w:lang w:eastAsia="es-ES"/>
        </w:rPr>
        <w:t>se sujete a asuntos de naturaleza transigible, es decir, no se puede acordar sobre los derechos mínimos laborales, las obligaciones derivadas de mandatos constitucionales y legales, asuntos de orden público, la soberanía nacional o el orden constitucional</w:t>
      </w:r>
      <w:r w:rsidRPr="00334AFE">
        <w:rPr>
          <w:rFonts w:ascii="Verdana" w:hAnsi="Verdana" w:cs="Arial"/>
          <w:lang w:eastAsia="es-ES"/>
        </w:rPr>
        <w:t xml:space="preserve"> </w:t>
      </w:r>
      <w:r>
        <w:rPr>
          <w:rFonts w:ascii="Verdana" w:hAnsi="Verdana" w:cs="Arial"/>
          <w:lang w:eastAsia="es-ES"/>
        </w:rPr>
        <w:t>(</w:t>
      </w:r>
      <w:r w:rsidRPr="00334AFE">
        <w:rPr>
          <w:rFonts w:ascii="Verdana" w:hAnsi="Verdana" w:cs="Arial"/>
          <w:lang w:eastAsia="es-ES"/>
        </w:rPr>
        <w:t>Sentencia C-750 de 2008</w:t>
      </w:r>
      <w:r>
        <w:rPr>
          <w:rFonts w:ascii="Verdana" w:hAnsi="Verdana" w:cs="Arial"/>
          <w:lang w:eastAsia="es-ES"/>
        </w:rPr>
        <w:t>).</w:t>
      </w:r>
    </w:p>
    <w:p w14:paraId="774B3B27" w14:textId="7A57E531" w:rsidR="00334AFE" w:rsidRDefault="00334AFE" w:rsidP="00334AFE">
      <w:pPr>
        <w:pStyle w:val="Prrafodelista"/>
        <w:numPr>
          <w:ilvl w:val="0"/>
          <w:numId w:val="49"/>
        </w:numPr>
        <w:spacing w:after="240" w:line="276" w:lineRule="auto"/>
        <w:jc w:val="both"/>
        <w:rPr>
          <w:rFonts w:ascii="Verdana" w:hAnsi="Verdana" w:cs="Arial"/>
          <w:lang w:eastAsia="es-ES"/>
        </w:rPr>
      </w:pPr>
      <w:r>
        <w:rPr>
          <w:rFonts w:ascii="Verdana" w:hAnsi="Verdana" w:cs="Arial"/>
          <w:lang w:eastAsia="es-ES"/>
        </w:rPr>
        <w:t>Debe respetar el principio de legalidad y no puede sustituir la ley en materias que requieren control judicial (control de legalidad de los actos administrativos).</w:t>
      </w:r>
    </w:p>
    <w:p w14:paraId="40F446CF" w14:textId="518148F1" w:rsidR="00334AFE" w:rsidRDefault="00334AFE" w:rsidP="00334AFE">
      <w:pPr>
        <w:pStyle w:val="Prrafodelista"/>
        <w:numPr>
          <w:ilvl w:val="0"/>
          <w:numId w:val="49"/>
        </w:numPr>
        <w:spacing w:after="240" w:line="276" w:lineRule="auto"/>
        <w:jc w:val="both"/>
        <w:rPr>
          <w:rFonts w:ascii="Verdana" w:hAnsi="Verdana" w:cs="Arial"/>
          <w:lang w:eastAsia="es-ES"/>
        </w:rPr>
      </w:pPr>
      <w:r>
        <w:rPr>
          <w:rFonts w:ascii="Verdana" w:hAnsi="Verdana" w:cs="Arial"/>
          <w:lang w:eastAsia="es-ES"/>
        </w:rPr>
        <w:t>Que verse sobre una materia que pueda ser sometida al mecanismo de arbitraje, a saber, asuntos y/o controversias contractuales de carácter económico. Especialmente la interpretación, ejecución, terminación y liquidación de contratos estatales; controversias sobre incumplimiento contractual.</w:t>
      </w:r>
    </w:p>
    <w:p w14:paraId="657B965A" w14:textId="014A22F5" w:rsidR="00334AFE" w:rsidRDefault="00334AFE" w:rsidP="00334AFE">
      <w:pPr>
        <w:spacing w:after="240" w:line="276" w:lineRule="auto"/>
        <w:jc w:val="both"/>
        <w:rPr>
          <w:rFonts w:ascii="Verdana" w:hAnsi="Verdana" w:cs="Arial"/>
          <w:i/>
          <w:iCs/>
          <w:lang w:eastAsia="es-ES"/>
        </w:rPr>
      </w:pPr>
      <w:r>
        <w:rPr>
          <w:rFonts w:ascii="Verdana" w:hAnsi="Verdana" w:cs="Arial"/>
          <w:lang w:eastAsia="es-ES"/>
        </w:rPr>
        <w:t xml:space="preserve">Frente al </w:t>
      </w:r>
      <w:r w:rsidRPr="00DB768B">
        <w:rPr>
          <w:rFonts w:ascii="Verdana" w:hAnsi="Verdana" w:cs="Arial"/>
          <w:b/>
          <w:bCs/>
          <w:lang w:eastAsia="es-ES"/>
        </w:rPr>
        <w:t>primer elemento</w:t>
      </w:r>
      <w:r>
        <w:rPr>
          <w:rFonts w:ascii="Verdana" w:hAnsi="Verdana" w:cs="Arial"/>
          <w:lang w:eastAsia="es-ES"/>
        </w:rPr>
        <w:t xml:space="preserve">, se estima compatible la cláusula compromisoria objeto de estudio, en la medida que no busca transar sobre aspectos de orden constitucional, sino que versa sobre la resolución de disputas </w:t>
      </w:r>
      <w:r w:rsidR="00F15098">
        <w:rPr>
          <w:rFonts w:ascii="Verdana" w:hAnsi="Verdana" w:cs="Arial"/>
          <w:lang w:eastAsia="es-ES"/>
        </w:rPr>
        <w:t xml:space="preserve">relacionadas con </w:t>
      </w:r>
      <w:r w:rsidR="00F15098" w:rsidRPr="00364717">
        <w:rPr>
          <w:rFonts w:ascii="Verdana" w:hAnsi="Verdana" w:cs="Arial"/>
          <w:i/>
          <w:iCs/>
          <w:lang w:eastAsia="es-ES"/>
        </w:rPr>
        <w:t>“</w:t>
      </w:r>
      <w:r w:rsidRPr="00364717">
        <w:rPr>
          <w:rFonts w:ascii="Verdana" w:hAnsi="Verdana" w:cs="Arial"/>
          <w:i/>
          <w:iCs/>
          <w:lang w:eastAsia="es-ES"/>
        </w:rPr>
        <w:t xml:space="preserve">el Acuerdo Marco del ERPA o cualquier </w:t>
      </w:r>
      <w:r w:rsidRPr="00364717">
        <w:rPr>
          <w:rFonts w:ascii="Verdana" w:hAnsi="Verdana" w:cs="Arial"/>
          <w:i/>
          <w:iCs/>
          <w:lang w:eastAsia="es-ES"/>
        </w:rPr>
        <w:lastRenderedPageBreak/>
        <w:t>Acuerdo Fase del ERPA</w:t>
      </w:r>
      <w:r w:rsidR="00F15098" w:rsidRPr="00364717">
        <w:rPr>
          <w:rFonts w:ascii="Verdana" w:hAnsi="Verdana" w:cs="Arial"/>
          <w:i/>
          <w:iCs/>
          <w:lang w:eastAsia="es-ES"/>
        </w:rPr>
        <w:t>”</w:t>
      </w:r>
      <w:r w:rsidR="00F15098" w:rsidRPr="00F15098">
        <w:rPr>
          <w:rFonts w:ascii="Verdana" w:hAnsi="Verdana" w:cs="Arial"/>
          <w:lang w:eastAsia="es-ES"/>
        </w:rPr>
        <w:t xml:space="preserve"> que, en todo caso, </w:t>
      </w:r>
      <w:r w:rsidR="00F15098">
        <w:rPr>
          <w:rFonts w:ascii="Verdana" w:hAnsi="Verdana" w:cs="Arial"/>
          <w:lang w:eastAsia="es-ES"/>
        </w:rPr>
        <w:t>consisten en</w:t>
      </w:r>
      <w:r w:rsidR="00F15098" w:rsidRPr="00F15098">
        <w:rPr>
          <w:rFonts w:ascii="Verdana" w:hAnsi="Verdana" w:cs="Arial"/>
          <w:lang w:eastAsia="es-ES"/>
        </w:rPr>
        <w:t xml:space="preserve"> </w:t>
      </w:r>
      <w:r w:rsidR="00F15098" w:rsidRPr="00364717">
        <w:rPr>
          <w:rFonts w:ascii="Verdana" w:hAnsi="Verdana" w:cs="Arial"/>
          <w:i/>
          <w:iCs/>
          <w:lang w:eastAsia="es-ES"/>
        </w:rPr>
        <w:t>“generar, vender y transferir (…): (i) los ER del Contrato</w:t>
      </w:r>
      <w:r w:rsidR="00F15098" w:rsidRPr="00364717">
        <w:rPr>
          <w:rStyle w:val="Refdenotaalpie"/>
          <w:rFonts w:ascii="Verdana" w:hAnsi="Verdana" w:cs="Arial"/>
          <w:i/>
          <w:iCs/>
          <w:lang w:eastAsia="es-ES"/>
        </w:rPr>
        <w:footnoteReference w:id="8"/>
      </w:r>
      <w:r w:rsidR="00F15098" w:rsidRPr="00364717">
        <w:rPr>
          <w:rFonts w:ascii="Verdana" w:hAnsi="Verdana" w:cs="Arial"/>
          <w:i/>
          <w:iCs/>
          <w:lang w:eastAsia="es-ES"/>
        </w:rPr>
        <w:t>; y (</w:t>
      </w:r>
      <w:proofErr w:type="spellStart"/>
      <w:r w:rsidR="00F15098" w:rsidRPr="00364717">
        <w:rPr>
          <w:rFonts w:ascii="Verdana" w:hAnsi="Verdana" w:cs="Arial"/>
          <w:i/>
          <w:iCs/>
          <w:lang w:eastAsia="es-ES"/>
        </w:rPr>
        <w:t>ii</w:t>
      </w:r>
      <w:proofErr w:type="spellEnd"/>
      <w:r w:rsidR="00F15098" w:rsidRPr="00364717">
        <w:rPr>
          <w:rFonts w:ascii="Verdana" w:hAnsi="Verdana" w:cs="Arial"/>
          <w:i/>
          <w:iCs/>
          <w:lang w:eastAsia="es-ES"/>
        </w:rPr>
        <w:t>) las ER Adicionales respecto de las cuales el Concesionario ha ejercido su Opción de Compra.”</w:t>
      </w:r>
    </w:p>
    <w:p w14:paraId="766F0B0B" w14:textId="4DC6A311" w:rsidR="00364717" w:rsidRDefault="00364717" w:rsidP="00334AFE">
      <w:pPr>
        <w:spacing w:after="240" w:line="276" w:lineRule="auto"/>
        <w:jc w:val="both"/>
        <w:rPr>
          <w:rFonts w:ascii="Verdana" w:hAnsi="Verdana" w:cs="Arial"/>
          <w:lang w:eastAsia="es-ES"/>
        </w:rPr>
      </w:pPr>
      <w:r w:rsidRPr="0081624E">
        <w:rPr>
          <w:rFonts w:ascii="Verdana" w:hAnsi="Verdana" w:cs="Arial"/>
          <w:lang w:eastAsia="es-ES"/>
        </w:rPr>
        <w:t xml:space="preserve">Frente al </w:t>
      </w:r>
      <w:r w:rsidRPr="00DB768B">
        <w:rPr>
          <w:rFonts w:ascii="Verdana" w:hAnsi="Verdana" w:cs="Arial"/>
          <w:b/>
          <w:bCs/>
          <w:lang w:eastAsia="es-ES"/>
        </w:rPr>
        <w:t>segundo elemento</w:t>
      </w:r>
      <w:r w:rsidRPr="0081624E">
        <w:rPr>
          <w:rFonts w:ascii="Verdana" w:hAnsi="Verdana" w:cs="Arial"/>
          <w:lang w:eastAsia="es-ES"/>
        </w:rPr>
        <w:t xml:space="preserve">, resulta compatible en la medida </w:t>
      </w:r>
      <w:r w:rsidR="0081624E" w:rsidRPr="0081624E">
        <w:rPr>
          <w:rFonts w:ascii="Verdana" w:hAnsi="Verdana" w:cs="Arial"/>
          <w:lang w:eastAsia="es-ES"/>
        </w:rPr>
        <w:t xml:space="preserve">que en los términos generales del ERPA no se consagran disposiciones que atenten el </w:t>
      </w:r>
      <w:r w:rsidRPr="0081624E">
        <w:rPr>
          <w:rFonts w:ascii="Verdana" w:hAnsi="Verdana" w:cs="Arial"/>
          <w:lang w:eastAsia="es-ES"/>
        </w:rPr>
        <w:t>principio de legalidad</w:t>
      </w:r>
      <w:r w:rsidR="0081624E" w:rsidRPr="0081624E">
        <w:rPr>
          <w:rFonts w:ascii="Verdana" w:hAnsi="Verdana" w:cs="Arial"/>
          <w:lang w:eastAsia="es-ES"/>
        </w:rPr>
        <w:t xml:space="preserve">. </w:t>
      </w:r>
      <w:r w:rsidR="0081624E">
        <w:rPr>
          <w:rFonts w:ascii="Verdana" w:hAnsi="Verdana" w:cs="Arial"/>
          <w:lang w:eastAsia="es-ES"/>
        </w:rPr>
        <w:t xml:space="preserve">Si bien la Cláusula Compromisoria dispone que el derecho aplicable corresponde al Derecho Anglosajón, ello no es incompatible </w:t>
      </w:r>
      <w:r w:rsidR="00624E99">
        <w:rPr>
          <w:rFonts w:ascii="Verdana" w:hAnsi="Verdana" w:cs="Arial"/>
          <w:lang w:eastAsia="es-ES"/>
        </w:rPr>
        <w:t xml:space="preserve">en el marco de la celebración de contratos internacionales de derecho internacional privado, en tanto que </w:t>
      </w:r>
      <w:r w:rsidR="00624E99" w:rsidRPr="00624E99">
        <w:rPr>
          <w:rFonts w:ascii="Verdana" w:hAnsi="Verdana" w:cs="Arial"/>
          <w:i/>
          <w:iCs/>
          <w:lang w:eastAsia="es-ES"/>
        </w:rPr>
        <w:t>“el artículo 20 de la Ley 1150 de 2007 permite que los contratos celebrados por el Estado con entidades extranjeras se rijan por legislaciones distintas a la colombiana, siempre que ello se pacte expresamente y no contravenga el orden público interno. Esta posibilidad ha sido reconocida en la práctica contractual del Estado, especialmente en contratos financiados por organismos multilaterales o enmarcados en esquemas de cooperación internacional, como ocurre en el presente caso”</w:t>
      </w:r>
      <w:r w:rsidR="00624E99">
        <w:rPr>
          <w:rFonts w:ascii="Verdana" w:hAnsi="Verdana" w:cs="Arial"/>
          <w:lang w:eastAsia="es-ES"/>
        </w:rPr>
        <w:t xml:space="preserve"> (Cancillería, </w:t>
      </w:r>
      <w:r w:rsidR="00624E99" w:rsidRPr="00624E99">
        <w:rPr>
          <w:rFonts w:ascii="Verdana" w:hAnsi="Verdana" w:cs="Arial"/>
          <w:lang w:eastAsia="es-ES"/>
        </w:rPr>
        <w:t>S-GTAJI-25-036637</w:t>
      </w:r>
      <w:r w:rsidR="00624E99">
        <w:rPr>
          <w:rFonts w:ascii="Verdana" w:hAnsi="Verdana" w:cs="Arial"/>
          <w:lang w:eastAsia="es-ES"/>
        </w:rPr>
        <w:t>).</w:t>
      </w:r>
    </w:p>
    <w:p w14:paraId="2FFA772C" w14:textId="77777777" w:rsidR="00624E99" w:rsidRDefault="00624E99" w:rsidP="00334AFE">
      <w:pPr>
        <w:spacing w:after="240" w:line="276" w:lineRule="auto"/>
        <w:jc w:val="both"/>
        <w:rPr>
          <w:rFonts w:ascii="Verdana" w:hAnsi="Verdana" w:cs="Arial"/>
          <w:lang w:eastAsia="es-ES"/>
        </w:rPr>
      </w:pPr>
      <w:r>
        <w:rPr>
          <w:rFonts w:ascii="Verdana" w:hAnsi="Verdana" w:cs="Arial"/>
          <w:lang w:eastAsia="es-ES"/>
        </w:rPr>
        <w:t xml:space="preserve">Frente al </w:t>
      </w:r>
      <w:r w:rsidRPr="00DB768B">
        <w:rPr>
          <w:rFonts w:ascii="Verdana" w:hAnsi="Verdana" w:cs="Arial"/>
          <w:b/>
          <w:bCs/>
          <w:lang w:eastAsia="es-ES"/>
        </w:rPr>
        <w:t>tercer elemento</w:t>
      </w:r>
      <w:r>
        <w:rPr>
          <w:rFonts w:ascii="Verdana" w:hAnsi="Verdana" w:cs="Arial"/>
          <w:lang w:eastAsia="es-ES"/>
        </w:rPr>
        <w:t xml:space="preserve">, se constata que el mecanismo de arbitraje versa sobre asuntos contractuales de carácter económico, en la medida que la </w:t>
      </w:r>
      <w:r w:rsidRPr="00624E99">
        <w:rPr>
          <w:rFonts w:ascii="Verdana" w:hAnsi="Verdana" w:cs="Arial"/>
          <w:lang w:eastAsia="es-ES"/>
        </w:rPr>
        <w:t xml:space="preserve">Sección 17.09 </w:t>
      </w:r>
      <w:r>
        <w:rPr>
          <w:rFonts w:ascii="Verdana" w:hAnsi="Verdana" w:cs="Arial"/>
          <w:lang w:eastAsia="es-ES"/>
        </w:rPr>
        <w:t>fija el objetivo de compra y venta con la suscripción de los términos generales del ERPA, así:</w:t>
      </w:r>
    </w:p>
    <w:p w14:paraId="32540E86" w14:textId="77777777" w:rsidR="00624E99" w:rsidRPr="00491D36" w:rsidRDefault="00624E99" w:rsidP="00624E99">
      <w:pPr>
        <w:spacing w:after="240" w:line="276" w:lineRule="auto"/>
        <w:ind w:left="708"/>
        <w:jc w:val="both"/>
        <w:rPr>
          <w:rFonts w:ascii="Verdana" w:hAnsi="Verdana" w:cs="Arial"/>
          <w:i/>
          <w:iCs/>
          <w:sz w:val="22"/>
          <w:szCs w:val="22"/>
          <w:lang w:eastAsia="es-ES"/>
        </w:rPr>
      </w:pPr>
      <w:r w:rsidRPr="00491D36">
        <w:rPr>
          <w:rFonts w:ascii="Verdana" w:hAnsi="Verdana" w:cs="Arial"/>
          <w:i/>
          <w:iCs/>
          <w:sz w:val="22"/>
          <w:szCs w:val="22"/>
          <w:lang w:eastAsia="es-ES"/>
        </w:rPr>
        <w:t>"</w:t>
      </w:r>
      <w:r w:rsidRPr="00491D36">
        <w:rPr>
          <w:rFonts w:ascii="Verdana" w:hAnsi="Verdana" w:cs="Arial"/>
          <w:b/>
          <w:bCs/>
          <w:i/>
          <w:iCs/>
          <w:sz w:val="22"/>
          <w:szCs w:val="22"/>
          <w:lang w:eastAsia="es-ES"/>
        </w:rPr>
        <w:t>Sección 17.09 - Solo Compra y Venta</w:t>
      </w:r>
      <w:r w:rsidRPr="00491D36">
        <w:rPr>
          <w:rFonts w:ascii="Verdana" w:hAnsi="Verdana" w:cs="Arial"/>
          <w:i/>
          <w:iCs/>
          <w:sz w:val="22"/>
          <w:szCs w:val="22"/>
          <w:lang w:eastAsia="es-ES"/>
        </w:rPr>
        <w:t xml:space="preserve"> </w:t>
      </w:r>
    </w:p>
    <w:p w14:paraId="0C307E79" w14:textId="5DBDFD66" w:rsidR="00624E99" w:rsidRPr="00624E99" w:rsidRDefault="00624E99" w:rsidP="00624E99">
      <w:pPr>
        <w:spacing w:after="240" w:line="276" w:lineRule="auto"/>
        <w:ind w:left="708"/>
        <w:jc w:val="both"/>
        <w:rPr>
          <w:rFonts w:ascii="Verdana" w:hAnsi="Verdana" w:cs="Arial"/>
          <w:i/>
          <w:iCs/>
          <w:lang w:eastAsia="es-ES"/>
        </w:rPr>
      </w:pPr>
      <w:r w:rsidRPr="00491D36">
        <w:rPr>
          <w:rFonts w:ascii="Verdana" w:hAnsi="Verdana" w:cs="Arial"/>
          <w:i/>
          <w:iCs/>
          <w:sz w:val="22"/>
          <w:szCs w:val="22"/>
          <w:lang w:eastAsia="es-ES"/>
        </w:rPr>
        <w:t>El Fiduciario y la Entidad del Programa reconocen irrevocablemente que la relación creada en virtud del Acuerdo Marco ERPA, cualquier Acuerdo de Fase ERPA y estas Condiciones Generales (incluidos los términos implícitos por ley) es una de comprador y vendedor en condiciones de igualdad. (...)"</w:t>
      </w:r>
    </w:p>
    <w:p w14:paraId="129AD9D3" w14:textId="77777777" w:rsidR="00334AFE" w:rsidRPr="00A82CC4" w:rsidRDefault="00334AFE" w:rsidP="00334AFE">
      <w:pPr>
        <w:spacing w:after="240" w:line="276" w:lineRule="auto"/>
        <w:jc w:val="both"/>
        <w:rPr>
          <w:rFonts w:ascii="Verdana" w:hAnsi="Verdana" w:cs="Arial"/>
          <w:lang w:eastAsia="es-ES"/>
        </w:rPr>
      </w:pPr>
      <w:r w:rsidRPr="00A82CC4">
        <w:rPr>
          <w:rFonts w:ascii="Verdana" w:hAnsi="Verdana" w:cs="Arial"/>
          <w:lang w:eastAsia="es-ES"/>
        </w:rPr>
        <w:t>Adicionalmente, la Circular establece que la entidad debe indicar:</w:t>
      </w:r>
    </w:p>
    <w:p w14:paraId="69DFC97F" w14:textId="0181054B" w:rsidR="00334AFE" w:rsidRPr="00A82CC4" w:rsidRDefault="00334AFE" w:rsidP="00334AFE">
      <w:pPr>
        <w:pStyle w:val="Prrafodelista"/>
        <w:numPr>
          <w:ilvl w:val="0"/>
          <w:numId w:val="49"/>
        </w:numPr>
        <w:spacing w:after="240" w:line="276" w:lineRule="auto"/>
        <w:jc w:val="both"/>
        <w:rPr>
          <w:rFonts w:ascii="Verdana" w:hAnsi="Verdana" w:cs="Arial"/>
          <w:lang w:eastAsia="es-ES"/>
        </w:rPr>
      </w:pPr>
      <w:r w:rsidRPr="00A82CC4">
        <w:rPr>
          <w:rFonts w:ascii="Verdana" w:hAnsi="Verdana" w:cs="Arial"/>
          <w:lang w:eastAsia="es-ES"/>
        </w:rPr>
        <w:lastRenderedPageBreak/>
        <w:t>Las razones por las cuáles se pacta el tribunal de forma internacional, de conformidad con lo señalado en el artículo 62 de la Ley 1563 de 2012;</w:t>
      </w:r>
      <w:r w:rsidR="00DB768B" w:rsidRPr="00A82CC4">
        <w:rPr>
          <w:rFonts w:ascii="Verdana" w:hAnsi="Verdana" w:cs="Arial"/>
          <w:lang w:eastAsia="es-ES"/>
        </w:rPr>
        <w:t xml:space="preserve"> </w:t>
      </w:r>
    </w:p>
    <w:p w14:paraId="1A5637E2" w14:textId="0EBDB285" w:rsidR="00E95A47" w:rsidRDefault="00E95A47" w:rsidP="00E95A47">
      <w:pPr>
        <w:spacing w:after="240" w:line="276" w:lineRule="auto"/>
        <w:jc w:val="both"/>
        <w:rPr>
          <w:rFonts w:ascii="Verdana" w:hAnsi="Verdana" w:cs="Arial"/>
          <w:lang w:eastAsia="es-ES"/>
        </w:rPr>
      </w:pPr>
      <w:r w:rsidRPr="18F40C24">
        <w:rPr>
          <w:rFonts w:ascii="Verdana" w:hAnsi="Verdana" w:cs="Arial"/>
          <w:lang w:eastAsia="es-ES"/>
        </w:rPr>
        <w:t xml:space="preserve">En cuanto a los elementos que han de configurarse para pactar un tribunal arbitral internacional, </w:t>
      </w:r>
      <w:r w:rsidR="00371A51" w:rsidRPr="18F40C24">
        <w:rPr>
          <w:rFonts w:ascii="Verdana" w:hAnsi="Verdana" w:cs="Arial"/>
          <w:lang w:eastAsia="es-ES"/>
        </w:rPr>
        <w:t xml:space="preserve">puede ser uno o más de los que están enlistados en </w:t>
      </w:r>
      <w:r w:rsidRPr="18F40C24">
        <w:rPr>
          <w:rFonts w:ascii="Verdana" w:hAnsi="Verdana" w:cs="Arial"/>
          <w:lang w:eastAsia="es-ES"/>
        </w:rPr>
        <w:t>el artículo 62 de la Ley 1563 de 2012</w:t>
      </w:r>
      <w:r w:rsidR="00371A51" w:rsidRPr="18F40C24">
        <w:rPr>
          <w:rFonts w:ascii="Verdana" w:hAnsi="Verdana" w:cs="Arial"/>
          <w:lang w:eastAsia="es-ES"/>
        </w:rPr>
        <w:t>. En el presente caso,</w:t>
      </w:r>
      <w:r w:rsidRPr="18F40C24">
        <w:rPr>
          <w:rFonts w:ascii="Verdana" w:hAnsi="Verdana" w:cs="Arial"/>
          <w:lang w:eastAsia="es-ES"/>
        </w:rPr>
        <w:t xml:space="preserve"> se identifica que la cláusula compromisoria contenida en la Sección 17.03 de los términos generales del ERPA cumple con los requisitos allí establecidos, en la medida que: (i) los domicilios de las Partes se ubican en diferentes Estados (el Ministerio de Ambiente y Desarrollo Sostenible se ubica en Bogotá, Colombia y la sede principal del Banco Mundial es en Washington, Estados Unidos, pero tiene varias sedes en el mundo, incluyendo su sede en Londres, Reino Unido); (ii) cuando alguna de las partes tenga más de un domicilio (el Banco Mundial, en este caso), el domicilio será el que guarde una relación más estrecha con el acuerdo de arbitraje, como en efecto se pacta con la cláusula compromisoria, en la medida que la sede del arbitraje sería en Londres, debido a que la oficina del Banco Mundial en Londres tiene como función principal la gestión de proyectos y cooperación financiera, incluyendo acciones contra el cambio climático, lo cual es compatible con los términos generales del ERPA y; finalmente (ii) </w:t>
      </w:r>
      <w:r w:rsidRPr="18F40C24">
        <w:rPr>
          <w:rFonts w:ascii="Verdana" w:hAnsi="Verdana" w:cs="Arial"/>
          <w:i/>
          <w:iCs/>
          <w:lang w:eastAsia="es-ES"/>
        </w:rPr>
        <w:t>“ningún Estado, ni empresa propiedad de un Estado, ni organización controlada por un Estado, que sea parte de un acuerdo de arbitraje, podrá invocar su propio derecho para impugnar su capacidad para ser parte en un arbitraje o la arbitrabilidad de una controversia comprendida en un acuerdo de arbitraje”</w:t>
      </w:r>
      <w:r w:rsidRPr="18F40C24">
        <w:rPr>
          <w:rFonts w:ascii="Verdana" w:hAnsi="Verdana" w:cs="Arial"/>
          <w:lang w:eastAsia="es-ES"/>
        </w:rPr>
        <w:t xml:space="preserve"> que, en el presente caso, al disponer de una cláusula entre el Banco Mundial (una organización internacional no sujeta ni controlada por un Estado) y el Ministerio de Ambiente y Desarrollo Sostenible, junto con el Ministerio de Agricultura, con sede de arbitraje en Londres, no se incurre en la conducta prohibida en esta </w:t>
      </w:r>
      <w:r w:rsidR="00A82CC4" w:rsidRPr="18F40C24">
        <w:rPr>
          <w:rFonts w:ascii="Verdana" w:hAnsi="Verdana" w:cs="Arial"/>
          <w:lang w:eastAsia="es-ES"/>
        </w:rPr>
        <w:t>disposición</w:t>
      </w:r>
      <w:r w:rsidRPr="18F40C24">
        <w:rPr>
          <w:rFonts w:ascii="Verdana" w:hAnsi="Verdana" w:cs="Arial"/>
          <w:lang w:eastAsia="es-ES"/>
        </w:rPr>
        <w:t xml:space="preserve"> legal colombiana. </w:t>
      </w:r>
    </w:p>
    <w:p w14:paraId="4F3AD0B7" w14:textId="77777777" w:rsidR="00A82CC4" w:rsidRDefault="00A82CC4" w:rsidP="00A82CC4">
      <w:pPr>
        <w:numPr>
          <w:ilvl w:val="0"/>
          <w:numId w:val="49"/>
        </w:numPr>
        <w:spacing w:after="240" w:line="276" w:lineRule="auto"/>
        <w:jc w:val="both"/>
        <w:rPr>
          <w:rFonts w:ascii="Verdana" w:hAnsi="Verdana" w:cs="Arial"/>
          <w:lang w:eastAsia="es-ES"/>
        </w:rPr>
      </w:pPr>
      <w:r w:rsidRPr="00A82CC4">
        <w:rPr>
          <w:rFonts w:ascii="Verdana" w:hAnsi="Verdana" w:cs="Arial"/>
          <w:lang w:eastAsia="es-ES"/>
        </w:rPr>
        <w:t>“Las normas que regulan el procedimiento arbitral, incluyendo el reglamento aplicable y el centro de arbitraje que administrará el proceso, siempre que ello sea posible.”</w:t>
      </w:r>
    </w:p>
    <w:p w14:paraId="326C9D2E" w14:textId="49E5ECF5" w:rsidR="00A82CC4" w:rsidRPr="00E95A47" w:rsidRDefault="00A82CC4" w:rsidP="00E95A47">
      <w:pPr>
        <w:spacing w:after="240" w:line="276" w:lineRule="auto"/>
        <w:jc w:val="both"/>
        <w:rPr>
          <w:rFonts w:ascii="Verdana" w:hAnsi="Verdana" w:cs="Arial"/>
          <w:lang w:eastAsia="es-ES"/>
        </w:rPr>
      </w:pPr>
      <w:r>
        <w:rPr>
          <w:rFonts w:ascii="Verdana" w:hAnsi="Verdana" w:cs="Arial"/>
          <w:lang w:eastAsia="es-ES"/>
        </w:rPr>
        <w:lastRenderedPageBreak/>
        <w:t>La cláusula dispone que las normas que regulan el procedimiento arbitral serían el derecho anglosajón, lo cual ya ha sido analizado por la Cancillería y estimado como viable jurídicamente por dicha entidad. Adicionalmente, la cláusula dispone que el Reglamento de Arbitraje de la CNUDMI vigente es el reglamento aplicable y, por último, aunque no dispone el centro de arbitraje que administrará el proceso, si se específica que será en Londres.</w:t>
      </w:r>
    </w:p>
    <w:p w14:paraId="742B31DF" w14:textId="1F6F986E" w:rsidR="00334AFE" w:rsidRPr="001A763B" w:rsidRDefault="00334AFE" w:rsidP="00334AFE">
      <w:pPr>
        <w:spacing w:after="240" w:line="276" w:lineRule="auto"/>
        <w:jc w:val="both"/>
        <w:rPr>
          <w:rFonts w:ascii="Verdana" w:hAnsi="Verdana" w:cs="Arial"/>
          <w:lang w:eastAsia="es-ES"/>
        </w:rPr>
      </w:pPr>
      <w:r w:rsidRPr="001A763B">
        <w:rPr>
          <w:rFonts w:ascii="Verdana" w:hAnsi="Verdana" w:cs="Arial"/>
          <w:lang w:eastAsia="es-ES"/>
        </w:rPr>
        <w:t xml:space="preserve">Finalmente, la ANDJE en la Circular estima </w:t>
      </w:r>
      <w:r w:rsidRPr="001A763B">
        <w:rPr>
          <w:rFonts w:ascii="Verdana" w:hAnsi="Verdana" w:cs="Arial"/>
          <w:b/>
          <w:bCs/>
          <w:lang w:eastAsia="es-ES"/>
        </w:rPr>
        <w:t>conveniente</w:t>
      </w:r>
      <w:r w:rsidRPr="001A763B">
        <w:rPr>
          <w:rFonts w:ascii="Verdana" w:hAnsi="Verdana" w:cs="Arial"/>
          <w:lang w:eastAsia="es-ES"/>
        </w:rPr>
        <w:t xml:space="preserve"> </w:t>
      </w:r>
      <w:r w:rsidR="00DB768B" w:rsidRPr="001A763B">
        <w:rPr>
          <w:rFonts w:ascii="Verdana" w:hAnsi="Verdana" w:cs="Arial"/>
          <w:lang w:eastAsia="es-ES"/>
        </w:rPr>
        <w:t xml:space="preserve">que </w:t>
      </w:r>
      <w:r w:rsidR="00371A51" w:rsidRPr="001A763B">
        <w:rPr>
          <w:rFonts w:ascii="Verdana" w:hAnsi="Verdana" w:cs="Arial"/>
          <w:i/>
          <w:iCs/>
          <w:lang w:eastAsia="es-ES"/>
        </w:rPr>
        <w:t>“</w:t>
      </w:r>
      <w:r w:rsidR="00DB768B" w:rsidRPr="001A763B">
        <w:rPr>
          <w:rFonts w:ascii="Verdana" w:hAnsi="Verdana" w:cs="Arial"/>
          <w:i/>
          <w:iCs/>
          <w:lang w:eastAsia="es-ES"/>
        </w:rPr>
        <w:t>al redactar la cláusula se fijen pautas que garanticen que la competencia excepcional que se otorga a los árbitros se ejerza transitoriamente y se cumplan con los objetivos de celeridad, si tales son los que se persiguen. Esto, mediante la fijación de plazos máximos para cumplir la función asignada, procedencia y límites a las eventuales prórrogas, y las consecuencias de no emitirse un laudo en dicho periodo.</w:t>
      </w:r>
      <w:r w:rsidR="00371A51" w:rsidRPr="001A763B">
        <w:rPr>
          <w:rFonts w:ascii="Verdana" w:hAnsi="Verdana" w:cs="Arial"/>
          <w:i/>
          <w:iCs/>
          <w:lang w:eastAsia="es-ES"/>
        </w:rPr>
        <w:t xml:space="preserve"> </w:t>
      </w:r>
      <w:r w:rsidR="00DB768B" w:rsidRPr="001A763B">
        <w:rPr>
          <w:rFonts w:ascii="Verdana" w:hAnsi="Verdana" w:cs="Arial"/>
          <w:i/>
          <w:iCs/>
          <w:lang w:eastAsia="es-ES"/>
        </w:rPr>
        <w:t>Al respecto, se debe tener en cuenta que, conforme al artículo 10 de la Ley 1563 de 2012, si no se fija un término por las partes la duración del proceso arbitral será de seis (6) meses, contados a partir de la finalización de la primera audiencia de trámite, plazo que se puede prorrogar a voluntad de las partes.</w:t>
      </w:r>
      <w:r w:rsidR="00371A51" w:rsidRPr="001A763B">
        <w:rPr>
          <w:rFonts w:ascii="Verdana" w:hAnsi="Verdana" w:cs="Arial"/>
          <w:i/>
          <w:iCs/>
          <w:lang w:eastAsia="es-ES"/>
        </w:rPr>
        <w:t>”</w:t>
      </w:r>
    </w:p>
    <w:p w14:paraId="432C097F" w14:textId="1E766319" w:rsidR="00371A51" w:rsidRPr="001A763B" w:rsidRDefault="00371A51" w:rsidP="00334AFE">
      <w:pPr>
        <w:spacing w:after="240" w:line="276" w:lineRule="auto"/>
        <w:jc w:val="both"/>
        <w:rPr>
          <w:rFonts w:ascii="Verdana" w:hAnsi="Verdana" w:cs="Arial"/>
          <w:lang w:eastAsia="es-ES"/>
        </w:rPr>
      </w:pPr>
      <w:r w:rsidRPr="18F40C24">
        <w:rPr>
          <w:rFonts w:ascii="Verdana" w:hAnsi="Verdana" w:cs="Arial"/>
          <w:lang w:eastAsia="es-ES"/>
        </w:rPr>
        <w:t xml:space="preserve">Al respecto, se aclara que, aunque la cláusula compromisoria objeto de estudio no consagran las especificidades de tiempo recomendadas por la ANDJE, dado que la cláusula no es objeto de modificaciones, como ya se ha explicado en precedencia, no </w:t>
      </w:r>
      <w:r w:rsidR="2EBD189E" w:rsidRPr="18F40C24">
        <w:rPr>
          <w:rFonts w:ascii="Verdana" w:hAnsi="Verdana" w:cs="Arial"/>
          <w:lang w:eastAsia="es-ES"/>
        </w:rPr>
        <w:t xml:space="preserve">resulta </w:t>
      </w:r>
      <w:proofErr w:type="spellStart"/>
      <w:r w:rsidR="2EBD189E" w:rsidRPr="18F40C24">
        <w:rPr>
          <w:rFonts w:ascii="Verdana" w:hAnsi="Verdana" w:cs="Arial"/>
          <w:lang w:eastAsia="es-ES"/>
        </w:rPr>
        <w:t>jurídicamente</w:t>
      </w:r>
      <w:r w:rsidRPr="18F40C24">
        <w:rPr>
          <w:rFonts w:ascii="Verdana" w:hAnsi="Verdana" w:cs="Arial"/>
          <w:lang w:eastAsia="es-ES"/>
        </w:rPr>
        <w:t>viable</w:t>
      </w:r>
      <w:proofErr w:type="spellEnd"/>
      <w:r w:rsidRPr="18F40C24">
        <w:rPr>
          <w:rFonts w:ascii="Verdana" w:hAnsi="Verdana" w:cs="Arial"/>
          <w:lang w:eastAsia="es-ES"/>
        </w:rPr>
        <w:t xml:space="preserve"> recomendar su ajuste para agregar los elementos de tiempo y plazo recomendados por la Agencia. Sin embargo, dado que estos elementos son estimados como convenientes de pactar, más no como obligatorios, no estima esta Oficina Asesora Jurídica que deban impedir la suscripción de la cláusula que, resulta compatible jurídicamente en todos los demás aspectos esenciales.</w:t>
      </w:r>
    </w:p>
    <w:p w14:paraId="36DA75E1" w14:textId="77777777" w:rsidR="00B10011" w:rsidRPr="001A763B" w:rsidRDefault="00371A51" w:rsidP="00334AFE">
      <w:pPr>
        <w:spacing w:after="240" w:line="276" w:lineRule="auto"/>
        <w:jc w:val="both"/>
        <w:rPr>
          <w:rFonts w:ascii="Verdana" w:hAnsi="Verdana" w:cs="Arial"/>
          <w:lang w:eastAsia="es-ES"/>
        </w:rPr>
      </w:pPr>
      <w:r w:rsidRPr="001A763B">
        <w:rPr>
          <w:rFonts w:ascii="Verdana" w:hAnsi="Verdana" w:cs="Arial"/>
          <w:lang w:eastAsia="es-ES"/>
        </w:rPr>
        <w:t xml:space="preserve">Adicionalmente, la Agencia en su Circular </w:t>
      </w:r>
      <w:r w:rsidR="00B10011" w:rsidRPr="001A763B">
        <w:rPr>
          <w:rFonts w:ascii="Verdana" w:hAnsi="Verdana" w:cs="Arial"/>
          <w:lang w:eastAsia="es-ES"/>
        </w:rPr>
        <w:t xml:space="preserve">indica que se deben analizar y definir los siguientes aspectos cuando se trate de arbitraje internacional: </w:t>
      </w:r>
    </w:p>
    <w:p w14:paraId="1A7FE636" w14:textId="691EE369" w:rsidR="00DB768B" w:rsidRPr="00491D36" w:rsidRDefault="00B10011" w:rsidP="00667292">
      <w:pPr>
        <w:spacing w:after="240" w:line="276" w:lineRule="auto"/>
        <w:ind w:left="708"/>
        <w:jc w:val="both"/>
        <w:rPr>
          <w:rFonts w:ascii="Verdana" w:hAnsi="Verdana" w:cs="Arial"/>
          <w:i/>
          <w:iCs/>
          <w:sz w:val="22"/>
          <w:szCs w:val="22"/>
          <w:lang w:eastAsia="es-ES"/>
        </w:rPr>
      </w:pPr>
      <w:r w:rsidRPr="00491D36">
        <w:rPr>
          <w:rFonts w:ascii="Verdana" w:hAnsi="Verdana" w:cs="Arial"/>
          <w:i/>
          <w:iCs/>
          <w:sz w:val="22"/>
          <w:szCs w:val="22"/>
          <w:lang w:eastAsia="es-ES"/>
        </w:rPr>
        <w:t>“</w:t>
      </w:r>
      <w:r w:rsidR="00DB768B" w:rsidRPr="00491D36">
        <w:rPr>
          <w:rFonts w:ascii="Verdana" w:hAnsi="Verdana" w:cs="Arial"/>
          <w:i/>
          <w:iCs/>
          <w:sz w:val="22"/>
          <w:szCs w:val="22"/>
          <w:lang w:eastAsia="es-ES"/>
        </w:rPr>
        <w:t>(i) La escogencia de la sede arbitral, valorando las implicaciones y beneficios de elegir una sede fuera de Colombia; (</w:t>
      </w:r>
      <w:proofErr w:type="spellStart"/>
      <w:r w:rsidR="00DB768B" w:rsidRPr="00491D36">
        <w:rPr>
          <w:rFonts w:ascii="Verdana" w:hAnsi="Verdana" w:cs="Arial"/>
          <w:i/>
          <w:iCs/>
          <w:sz w:val="22"/>
          <w:szCs w:val="22"/>
          <w:lang w:eastAsia="es-ES"/>
        </w:rPr>
        <w:t>ii</w:t>
      </w:r>
      <w:proofErr w:type="spellEnd"/>
      <w:r w:rsidR="00DB768B" w:rsidRPr="00491D36">
        <w:rPr>
          <w:rFonts w:ascii="Verdana" w:hAnsi="Verdana" w:cs="Arial"/>
          <w:i/>
          <w:iCs/>
          <w:sz w:val="22"/>
          <w:szCs w:val="22"/>
          <w:lang w:eastAsia="es-ES"/>
        </w:rPr>
        <w:t>) el número de árbitros que conformará el tribunal arbitral; (</w:t>
      </w:r>
      <w:proofErr w:type="spellStart"/>
      <w:r w:rsidR="00DB768B" w:rsidRPr="00491D36">
        <w:rPr>
          <w:rFonts w:ascii="Verdana" w:hAnsi="Verdana" w:cs="Arial"/>
          <w:i/>
          <w:iCs/>
          <w:sz w:val="22"/>
          <w:szCs w:val="22"/>
          <w:lang w:eastAsia="es-ES"/>
        </w:rPr>
        <w:t>iii</w:t>
      </w:r>
      <w:proofErr w:type="spellEnd"/>
      <w:r w:rsidR="00DB768B" w:rsidRPr="00491D36">
        <w:rPr>
          <w:rFonts w:ascii="Verdana" w:hAnsi="Verdana" w:cs="Arial"/>
          <w:i/>
          <w:iCs/>
          <w:sz w:val="22"/>
          <w:szCs w:val="22"/>
          <w:lang w:eastAsia="es-ES"/>
        </w:rPr>
        <w:t>) el idioma del procedimiento; y (</w:t>
      </w:r>
      <w:proofErr w:type="spellStart"/>
      <w:r w:rsidR="00DB768B" w:rsidRPr="00491D36">
        <w:rPr>
          <w:rFonts w:ascii="Verdana" w:hAnsi="Verdana" w:cs="Arial"/>
          <w:i/>
          <w:iCs/>
          <w:sz w:val="22"/>
          <w:szCs w:val="22"/>
          <w:lang w:eastAsia="es-ES"/>
        </w:rPr>
        <w:t>iv</w:t>
      </w:r>
      <w:proofErr w:type="spellEnd"/>
      <w:r w:rsidR="00DB768B" w:rsidRPr="00491D36">
        <w:rPr>
          <w:rFonts w:ascii="Verdana" w:hAnsi="Verdana" w:cs="Arial"/>
          <w:i/>
          <w:iCs/>
          <w:sz w:val="22"/>
          <w:szCs w:val="22"/>
          <w:lang w:eastAsia="es-ES"/>
        </w:rPr>
        <w:t xml:space="preserve">) </w:t>
      </w:r>
      <w:r w:rsidR="00DB768B" w:rsidRPr="00491D36">
        <w:rPr>
          <w:rFonts w:ascii="Verdana" w:hAnsi="Verdana" w:cs="Arial"/>
          <w:i/>
          <w:iCs/>
          <w:sz w:val="22"/>
          <w:szCs w:val="22"/>
          <w:lang w:eastAsia="es-ES"/>
        </w:rPr>
        <w:lastRenderedPageBreak/>
        <w:t>el sometimiento a las reglas previstas para estos arbitrajes en la Ley 1563 de 2012. Corresponde revisar con detenimiento y definir las leyes aplicables al pacto arbitral y las que regirán la disputa.</w:t>
      </w:r>
      <w:r w:rsidRPr="00491D36">
        <w:rPr>
          <w:rFonts w:ascii="Verdana" w:hAnsi="Verdana" w:cs="Arial"/>
          <w:i/>
          <w:iCs/>
          <w:sz w:val="22"/>
          <w:szCs w:val="22"/>
          <w:lang w:eastAsia="es-ES"/>
        </w:rPr>
        <w:t>”</w:t>
      </w:r>
    </w:p>
    <w:p w14:paraId="11942A06" w14:textId="025A4AF5" w:rsidR="00294E4C" w:rsidRPr="001A763B" w:rsidRDefault="00294E4C" w:rsidP="00334AFE">
      <w:pPr>
        <w:spacing w:after="240" w:line="276" w:lineRule="auto"/>
        <w:jc w:val="both"/>
        <w:rPr>
          <w:rFonts w:ascii="Verdana" w:hAnsi="Verdana" w:cs="Arial"/>
          <w:lang w:eastAsia="es-ES"/>
        </w:rPr>
      </w:pPr>
      <w:r w:rsidRPr="001A763B">
        <w:rPr>
          <w:rFonts w:ascii="Verdana" w:hAnsi="Verdana" w:cs="Arial"/>
          <w:lang w:eastAsia="es-ES"/>
        </w:rPr>
        <w:t>Frente al primer punto, la cláusula establece que la sede arbitral será en Londres. Si bien el arbitraje en Londres resultaría oneroso, es beneficioso en la medida que dentro de la Oficina Asesora Jurídica del Ministerio de Ambiente y Desarrollo Sostenible no se cuenta con los profesionales que tengan conocimiento experto en derecho anglosajón y que puedan defender adecuadamente a la Cartera ante el eventual incumplimiento de alguna obligación pactada en el ERPA</w:t>
      </w:r>
      <w:r w:rsidR="001A763B" w:rsidRPr="001A763B">
        <w:rPr>
          <w:rFonts w:ascii="Verdana" w:hAnsi="Verdana" w:cs="Arial"/>
          <w:lang w:eastAsia="es-ES"/>
        </w:rPr>
        <w:t>.</w:t>
      </w:r>
    </w:p>
    <w:p w14:paraId="33A30967" w14:textId="3AA66C4F" w:rsidR="00294E4C" w:rsidRPr="001A763B" w:rsidRDefault="00294E4C" w:rsidP="00334AFE">
      <w:pPr>
        <w:spacing w:after="240" w:line="276" w:lineRule="auto"/>
        <w:jc w:val="both"/>
        <w:rPr>
          <w:rFonts w:ascii="Verdana" w:hAnsi="Verdana" w:cs="Arial"/>
          <w:lang w:eastAsia="es-ES"/>
        </w:rPr>
      </w:pPr>
      <w:r w:rsidRPr="001A763B">
        <w:rPr>
          <w:rFonts w:ascii="Verdana" w:hAnsi="Verdana" w:cs="Arial"/>
          <w:lang w:eastAsia="es-ES"/>
        </w:rPr>
        <w:t xml:space="preserve">Frente al segundo punto, el número de árbitros </w:t>
      </w:r>
      <w:r w:rsidR="002B6FE1" w:rsidRPr="001A763B">
        <w:rPr>
          <w:rFonts w:ascii="Verdana" w:hAnsi="Verdana" w:cs="Arial"/>
          <w:lang w:eastAsia="es-ES"/>
        </w:rPr>
        <w:t>está fijado, ya que se dispone que será un (1) sólo árbitro el que conforme el Tribunal.</w:t>
      </w:r>
    </w:p>
    <w:p w14:paraId="1AF9834F" w14:textId="23ADCBDF" w:rsidR="002B6FE1" w:rsidRPr="001A763B" w:rsidRDefault="002B6FE1" w:rsidP="00334AFE">
      <w:pPr>
        <w:spacing w:after="240" w:line="276" w:lineRule="auto"/>
        <w:jc w:val="both"/>
        <w:rPr>
          <w:rFonts w:ascii="Verdana" w:hAnsi="Verdana" w:cs="Arial"/>
          <w:lang w:eastAsia="es-ES"/>
        </w:rPr>
      </w:pPr>
      <w:r w:rsidRPr="001A763B">
        <w:rPr>
          <w:rFonts w:ascii="Verdana" w:hAnsi="Verdana" w:cs="Arial"/>
          <w:lang w:eastAsia="es-ES"/>
        </w:rPr>
        <w:t xml:space="preserve">Frente al tercer punto, aunque no está especificado en la cláusula, es implícito que el idioma aplicable es el inglés, en la medida que el acuerdo y los términos generales se están suscribiendo en dicho idioma y, que, además, el arbitraje será en Londres, con aplicación del derecho anglosajón. </w:t>
      </w:r>
    </w:p>
    <w:p w14:paraId="30903D53" w14:textId="58647AD4" w:rsidR="001A763B" w:rsidRPr="001A763B" w:rsidRDefault="001A763B" w:rsidP="00334AFE">
      <w:pPr>
        <w:spacing w:after="240" w:line="276" w:lineRule="auto"/>
        <w:jc w:val="both"/>
        <w:rPr>
          <w:rFonts w:ascii="Verdana" w:hAnsi="Verdana" w:cs="Arial"/>
          <w:lang w:eastAsia="es-ES"/>
        </w:rPr>
      </w:pPr>
      <w:r w:rsidRPr="001A763B">
        <w:rPr>
          <w:rFonts w:ascii="Verdana" w:hAnsi="Verdana" w:cs="Arial"/>
          <w:lang w:eastAsia="es-ES"/>
        </w:rPr>
        <w:t xml:space="preserve">Frente al cuarto punto, se recuerda que el derecho aplicable es el derecho anglosajón y que, de acuerdo con </w:t>
      </w:r>
      <w:r w:rsidRPr="001A763B">
        <w:rPr>
          <w:rFonts w:ascii="Verdana" w:hAnsi="Verdana" w:cs="Arial"/>
          <w:i/>
          <w:iCs/>
          <w:lang w:eastAsia="es-ES"/>
        </w:rPr>
        <w:t>el artículo 20 de la Ley 1150 de 2007, es viable jurídicamente pactar en este sentido.</w:t>
      </w:r>
    </w:p>
    <w:p w14:paraId="166E5E74" w14:textId="469276FF" w:rsidR="001A763B" w:rsidRPr="001A763B" w:rsidRDefault="001A763B" w:rsidP="002165B1">
      <w:pPr>
        <w:spacing w:after="240" w:line="276" w:lineRule="auto"/>
        <w:jc w:val="both"/>
        <w:rPr>
          <w:rFonts w:ascii="Verdana" w:hAnsi="Verdana" w:cs="Arial"/>
          <w:lang w:eastAsia="es-ES"/>
        </w:rPr>
      </w:pPr>
      <w:r w:rsidRPr="001A763B">
        <w:rPr>
          <w:rFonts w:ascii="Verdana" w:hAnsi="Verdana" w:cs="Arial"/>
          <w:lang w:eastAsia="es-ES"/>
        </w:rPr>
        <w:t>Finalmente, la Circular Externa No. 16 dispone que en el evento de optar por un “</w:t>
      </w:r>
      <w:r w:rsidR="00DB768B" w:rsidRPr="001A763B">
        <w:rPr>
          <w:rFonts w:ascii="Verdana" w:hAnsi="Verdana" w:cs="Arial"/>
          <w:lang w:eastAsia="es-ES"/>
        </w:rPr>
        <w:t>reglamento arbitral reconocido internacionalmente, el jefe jurídico expondrá, en su concepto previo, de qué manera se garantizarán principios como la imparcialidad, celeridad y seguridad jurídica en el trámite arbitral</w:t>
      </w:r>
      <w:r w:rsidRPr="001A763B">
        <w:rPr>
          <w:rFonts w:ascii="Verdana" w:hAnsi="Verdana" w:cs="Arial"/>
          <w:lang w:eastAsia="es-ES"/>
        </w:rPr>
        <w:t>”. Al respecto, el Reglamento de Arbitraje de la Comisión de las Naciones Unidas de Derecho Mercantil Internacional (CNUDMI) vigente (con su última modificación en 2021) dispone en su sección II para la Composición del tribunal arbitral la obligación de una Declaración de independencia e imparcialidad, la cual se materializa en los términos del artículo 11:</w:t>
      </w:r>
    </w:p>
    <w:p w14:paraId="5AC3A7E7" w14:textId="77777777" w:rsidR="001A763B" w:rsidRPr="00491D36" w:rsidRDefault="001A763B" w:rsidP="001A763B">
      <w:pPr>
        <w:spacing w:after="240" w:line="276" w:lineRule="auto"/>
        <w:ind w:left="708"/>
        <w:jc w:val="both"/>
        <w:rPr>
          <w:rFonts w:ascii="Verdana" w:hAnsi="Verdana" w:cs="Arial"/>
          <w:i/>
          <w:iCs/>
          <w:sz w:val="22"/>
          <w:szCs w:val="22"/>
          <w:lang w:eastAsia="es-ES"/>
        </w:rPr>
      </w:pPr>
      <w:r w:rsidRPr="00491D36">
        <w:rPr>
          <w:rFonts w:ascii="Verdana" w:hAnsi="Verdana" w:cs="Arial"/>
          <w:i/>
          <w:iCs/>
          <w:sz w:val="22"/>
          <w:szCs w:val="22"/>
          <w:lang w:eastAsia="es-ES"/>
        </w:rPr>
        <w:t xml:space="preserve">“Artículo 11 </w:t>
      </w:r>
    </w:p>
    <w:p w14:paraId="6E61DB10" w14:textId="782912D0" w:rsidR="001A763B" w:rsidRPr="00491D36" w:rsidRDefault="001A763B" w:rsidP="001A763B">
      <w:pPr>
        <w:spacing w:after="240" w:line="276" w:lineRule="auto"/>
        <w:ind w:left="708"/>
        <w:jc w:val="both"/>
        <w:rPr>
          <w:rFonts w:ascii="Verdana" w:hAnsi="Verdana" w:cs="Arial"/>
          <w:i/>
          <w:iCs/>
          <w:sz w:val="22"/>
          <w:szCs w:val="22"/>
          <w:lang w:eastAsia="es-ES"/>
        </w:rPr>
      </w:pPr>
      <w:r w:rsidRPr="00491D36">
        <w:rPr>
          <w:rFonts w:ascii="Verdana" w:hAnsi="Verdana" w:cs="Arial"/>
          <w:i/>
          <w:iCs/>
          <w:sz w:val="22"/>
          <w:szCs w:val="22"/>
          <w:lang w:eastAsia="es-ES"/>
        </w:rPr>
        <w:lastRenderedPageBreak/>
        <w:t xml:space="preserve">Cuando se haga saber a una persona la posibilidad de que sea designada para actuar como árbitro, dicha persona deberá revelar toda circunstancia que pueda dar lugar a dudas justificadas acerca de su imparcialidad o independencia. A partir de su nombramiento y a lo largo de todo el procedimiento, todo árbitro revelará sin demora a las partes y a los demás árbitros tales circunstancias, salvo que ya </w:t>
      </w:r>
      <w:proofErr w:type="gramStart"/>
      <w:r w:rsidRPr="00491D36">
        <w:rPr>
          <w:rFonts w:ascii="Verdana" w:hAnsi="Verdana" w:cs="Arial"/>
          <w:i/>
          <w:iCs/>
          <w:sz w:val="22"/>
          <w:szCs w:val="22"/>
          <w:lang w:eastAsia="es-ES"/>
        </w:rPr>
        <w:t>les</w:t>
      </w:r>
      <w:proofErr w:type="gramEnd"/>
      <w:r w:rsidRPr="00491D36">
        <w:rPr>
          <w:rFonts w:ascii="Verdana" w:hAnsi="Verdana" w:cs="Arial"/>
          <w:i/>
          <w:iCs/>
          <w:sz w:val="22"/>
          <w:szCs w:val="22"/>
          <w:lang w:eastAsia="es-ES"/>
        </w:rPr>
        <w:t xml:space="preserve"> hubiere informado al respecto”.</w:t>
      </w:r>
    </w:p>
    <w:p w14:paraId="1708455E" w14:textId="71C17AA1" w:rsidR="001A763B" w:rsidRPr="001A763B" w:rsidRDefault="001A763B" w:rsidP="002165B1">
      <w:pPr>
        <w:spacing w:after="240" w:line="276" w:lineRule="auto"/>
        <w:jc w:val="both"/>
        <w:rPr>
          <w:rFonts w:ascii="Verdana" w:hAnsi="Verdana" w:cs="Arial"/>
          <w:lang w:eastAsia="es-ES"/>
        </w:rPr>
      </w:pPr>
      <w:r w:rsidRPr="001A763B">
        <w:rPr>
          <w:rFonts w:ascii="Verdana" w:hAnsi="Verdana" w:cs="Arial"/>
          <w:lang w:eastAsia="es-ES"/>
        </w:rPr>
        <w:t xml:space="preserve">Con ello, la Sección II, también dispone de mecanismos de recusación, los cuáles pueden ser consultados en los artículos 12 y 13 del Reglamento precitado. </w:t>
      </w:r>
    </w:p>
    <w:p w14:paraId="29F4AE0F" w14:textId="734A51E6" w:rsidR="00160CD0" w:rsidRDefault="001A763B" w:rsidP="002165B1">
      <w:pPr>
        <w:spacing w:after="240" w:line="276" w:lineRule="auto"/>
        <w:jc w:val="both"/>
        <w:rPr>
          <w:rFonts w:ascii="Verdana" w:hAnsi="Verdana" w:cs="Arial"/>
          <w:lang w:eastAsia="es-ES"/>
        </w:rPr>
      </w:pPr>
      <w:r w:rsidRPr="00667292">
        <w:rPr>
          <w:rFonts w:ascii="Verdana" w:hAnsi="Verdana" w:cs="Arial"/>
          <w:lang w:eastAsia="es-ES"/>
        </w:rPr>
        <w:t xml:space="preserve">Y finalmente, </w:t>
      </w:r>
      <w:r w:rsidR="005E27C3" w:rsidRPr="00667292">
        <w:rPr>
          <w:rFonts w:ascii="Verdana" w:hAnsi="Verdana" w:cs="Arial"/>
          <w:lang w:eastAsia="es-ES"/>
        </w:rPr>
        <w:t xml:space="preserve">la Circular </w:t>
      </w:r>
      <w:r w:rsidRPr="00667292">
        <w:rPr>
          <w:rFonts w:ascii="Verdana" w:hAnsi="Verdana" w:cs="Arial"/>
          <w:lang w:eastAsia="es-ES"/>
        </w:rPr>
        <w:t>establece que “</w:t>
      </w:r>
      <w:r w:rsidR="00DB768B" w:rsidRPr="00667292">
        <w:rPr>
          <w:rFonts w:ascii="Verdana" w:hAnsi="Verdana" w:cs="Arial"/>
          <w:lang w:eastAsia="es-ES"/>
        </w:rPr>
        <w:t>al redactar la cláusula, es pertinente estudiar si se establecen normas de remisión normativa a disposiciones nacionales de arbitraje aplicables ante vacíos normativos. Todo lo anterior, se sugiere manifestarlo expresamente, para garantizar así la legalidad procesal desde la misma cláusula o pacto arbitral</w:t>
      </w:r>
      <w:r w:rsidRPr="00667292">
        <w:rPr>
          <w:rFonts w:ascii="Verdana" w:hAnsi="Verdana" w:cs="Arial"/>
          <w:lang w:eastAsia="es-ES"/>
        </w:rPr>
        <w:t>”.</w:t>
      </w:r>
    </w:p>
    <w:p w14:paraId="146D85DE" w14:textId="77777777" w:rsidR="00667292" w:rsidRDefault="001A763B" w:rsidP="002165B1">
      <w:pPr>
        <w:spacing w:after="240" w:line="276" w:lineRule="auto"/>
        <w:jc w:val="both"/>
        <w:rPr>
          <w:rFonts w:ascii="Verdana" w:hAnsi="Verdana" w:cs="Arial"/>
          <w:lang w:eastAsia="es-ES"/>
        </w:rPr>
      </w:pPr>
      <w:r>
        <w:rPr>
          <w:rFonts w:ascii="Verdana" w:hAnsi="Verdana" w:cs="Arial"/>
          <w:lang w:eastAsia="es-ES"/>
        </w:rPr>
        <w:t xml:space="preserve">En este caso, </w:t>
      </w:r>
      <w:r w:rsidR="00667292">
        <w:rPr>
          <w:rFonts w:ascii="Verdana" w:hAnsi="Verdana" w:cs="Arial"/>
          <w:lang w:eastAsia="es-ES"/>
        </w:rPr>
        <w:t xml:space="preserve">como ya se ha indicado, el derecho aplicable es el anglosajón, lo cual ya fue analizado como compatible con nuestro ordenamiento jurídico, pero además, se recuerda que, aunque la Circular fija unos parámetros a tener en cuenta al acordar y redactar pactos arbitrales o cláusulas compromisorias que, en el presente caso, si bien no aplican para la redacción de esta (por ser un documento que no es objeto de modificaciones, lo cual fue objeto de análisis por parte de la Cancillería dando su correspondiente </w:t>
      </w:r>
      <w:proofErr w:type="spellStart"/>
      <w:r w:rsidR="00667292">
        <w:rPr>
          <w:rFonts w:ascii="Verdana" w:hAnsi="Verdana" w:cs="Arial"/>
          <w:lang w:eastAsia="es-ES"/>
        </w:rPr>
        <w:t>VoB</w:t>
      </w:r>
      <w:proofErr w:type="spellEnd"/>
      <w:r w:rsidR="00667292">
        <w:rPr>
          <w:rFonts w:ascii="Verdana" w:hAnsi="Verdana" w:cs="Arial"/>
          <w:lang w:eastAsia="es-ES"/>
        </w:rPr>
        <w:t xml:space="preserve"> mediante el </w:t>
      </w:r>
      <w:r w:rsidR="00667292" w:rsidRPr="005E27C3">
        <w:rPr>
          <w:rFonts w:ascii="Verdana" w:hAnsi="Verdana" w:cs="Arial"/>
          <w:lang w:eastAsia="es-ES"/>
        </w:rPr>
        <w:t>S-GTAJI-25-036637</w:t>
      </w:r>
      <w:r w:rsidR="00667292">
        <w:rPr>
          <w:rFonts w:ascii="Verdana" w:hAnsi="Verdana" w:cs="Arial"/>
          <w:lang w:eastAsia="es-ES"/>
        </w:rPr>
        <w:t xml:space="preserve">), si es aplicable para la aceptación de la cláusula en concreto. </w:t>
      </w:r>
    </w:p>
    <w:p w14:paraId="78B0A784" w14:textId="745F0C3A" w:rsidR="001A763B" w:rsidRPr="0057360D" w:rsidRDefault="67881466" w:rsidP="18F40C24">
      <w:pPr>
        <w:spacing w:after="240" w:line="276" w:lineRule="auto"/>
        <w:jc w:val="both"/>
        <w:rPr>
          <w:rFonts w:ascii="Verdana" w:hAnsi="Verdana" w:cs="Arial"/>
          <w:b/>
          <w:bCs/>
          <w:u w:val="single"/>
          <w:lang w:eastAsia="es-ES"/>
        </w:rPr>
      </w:pPr>
      <w:r w:rsidRPr="18F40C24">
        <w:rPr>
          <w:rFonts w:ascii="Verdana" w:hAnsi="Verdana" w:cs="Arial"/>
          <w:b/>
          <w:bCs/>
          <w:u w:val="single"/>
          <w:lang w:eastAsia="es-ES"/>
        </w:rPr>
        <w:t>Si bien</w:t>
      </w:r>
      <w:r w:rsidR="00667292" w:rsidRPr="18F40C24">
        <w:rPr>
          <w:rFonts w:ascii="Verdana" w:hAnsi="Verdana" w:cs="Arial"/>
          <w:b/>
          <w:bCs/>
          <w:u w:val="single"/>
          <w:lang w:eastAsia="es-ES"/>
        </w:rPr>
        <w:t xml:space="preserve"> se estima que</w:t>
      </w:r>
      <w:r w:rsidR="4ED3937A" w:rsidRPr="18F40C24">
        <w:rPr>
          <w:rFonts w:ascii="Verdana" w:hAnsi="Verdana" w:cs="Arial"/>
          <w:b/>
          <w:bCs/>
          <w:u w:val="single"/>
          <w:lang w:eastAsia="es-ES"/>
        </w:rPr>
        <w:t xml:space="preserve"> la cláusula compromisoria</w:t>
      </w:r>
      <w:r w:rsidR="0F5969ED" w:rsidRPr="18F40C24">
        <w:rPr>
          <w:rFonts w:ascii="Verdana" w:hAnsi="Verdana" w:cs="Arial"/>
          <w:b/>
          <w:bCs/>
          <w:u w:val="single"/>
          <w:lang w:eastAsia="es-ES"/>
        </w:rPr>
        <w:t xml:space="preserve"> es compatible con </w:t>
      </w:r>
      <w:r w:rsidR="0F5969ED" w:rsidRPr="00554215">
        <w:rPr>
          <w:rFonts w:ascii="Verdana" w:eastAsia="Verdana" w:hAnsi="Verdana" w:cs="Verdana"/>
          <w:b/>
          <w:bCs/>
        </w:rPr>
        <w:t>Directiva Presidencial No. 05 de 2025</w:t>
      </w:r>
      <w:r w:rsidR="4ED3937A" w:rsidRPr="18F40C24">
        <w:rPr>
          <w:rFonts w:ascii="Verdana" w:hAnsi="Verdana" w:cs="Arial"/>
          <w:b/>
          <w:bCs/>
          <w:u w:val="single"/>
          <w:lang w:eastAsia="es-ES"/>
        </w:rPr>
        <w:t xml:space="preserve"> </w:t>
      </w:r>
      <w:r w:rsidR="00667292" w:rsidRPr="18F40C24">
        <w:rPr>
          <w:rFonts w:ascii="Verdana" w:hAnsi="Verdana" w:cs="Arial"/>
          <w:b/>
          <w:bCs/>
          <w:u w:val="single"/>
          <w:lang w:eastAsia="es-ES"/>
        </w:rPr>
        <w:t xml:space="preserve">y la Circular Externa No. 16 </w:t>
      </w:r>
      <w:r w:rsidR="003E7367" w:rsidRPr="18F40C24">
        <w:rPr>
          <w:rFonts w:ascii="Verdana" w:hAnsi="Verdana" w:cs="Arial"/>
          <w:b/>
          <w:bCs/>
          <w:u w:val="single"/>
          <w:lang w:eastAsia="es-ES"/>
        </w:rPr>
        <w:t>de la ANDJE,</w:t>
      </w:r>
      <w:r w:rsidR="55C858D1" w:rsidRPr="18F40C24">
        <w:rPr>
          <w:rFonts w:ascii="Verdana" w:hAnsi="Verdana" w:cs="Arial"/>
          <w:b/>
          <w:bCs/>
          <w:u w:val="single"/>
          <w:lang w:eastAsia="es-ES"/>
        </w:rPr>
        <w:t xml:space="preserve"> su viabilidad jurídica deberá entenderse </w:t>
      </w:r>
      <w:r w:rsidR="7B5FEE5D" w:rsidRPr="18F40C24">
        <w:rPr>
          <w:rFonts w:ascii="Verdana" w:hAnsi="Verdana" w:cs="Arial"/>
          <w:b/>
          <w:bCs/>
          <w:u w:val="single"/>
          <w:lang w:eastAsia="es-ES"/>
        </w:rPr>
        <w:t>bajo las siguientes condiciones</w:t>
      </w:r>
      <w:r w:rsidR="2E7A96D2" w:rsidRPr="18F40C24">
        <w:rPr>
          <w:rFonts w:ascii="Verdana" w:hAnsi="Verdana" w:cs="Arial"/>
          <w:b/>
          <w:bCs/>
          <w:u w:val="single"/>
          <w:lang w:eastAsia="es-ES"/>
        </w:rPr>
        <w:t xml:space="preserve">, adicionales al presente </w:t>
      </w:r>
      <w:proofErr w:type="spellStart"/>
      <w:r w:rsidR="2E7A96D2" w:rsidRPr="18F40C24">
        <w:rPr>
          <w:rFonts w:ascii="Verdana" w:hAnsi="Verdana" w:cs="Arial"/>
          <w:b/>
          <w:bCs/>
          <w:u w:val="single"/>
          <w:lang w:eastAsia="es-ES"/>
        </w:rPr>
        <w:t>conceptojurídico</w:t>
      </w:r>
      <w:proofErr w:type="spellEnd"/>
      <w:r w:rsidR="2E7A96D2" w:rsidRPr="18F40C24">
        <w:rPr>
          <w:rFonts w:ascii="Verdana" w:hAnsi="Verdana" w:cs="Arial"/>
          <w:b/>
          <w:bCs/>
          <w:u w:val="single"/>
          <w:lang w:eastAsia="es-ES"/>
        </w:rPr>
        <w:t xml:space="preserve">: </w:t>
      </w:r>
      <w:r w:rsidR="7B5FEE5D" w:rsidRPr="18F40C24">
        <w:rPr>
          <w:rFonts w:ascii="Verdana" w:hAnsi="Verdana" w:cs="Arial"/>
          <w:b/>
          <w:bCs/>
          <w:u w:val="single"/>
          <w:lang w:eastAsia="es-ES"/>
        </w:rPr>
        <w:t xml:space="preserve"> </w:t>
      </w:r>
      <w:r w:rsidR="1F67D531" w:rsidRPr="18F40C24">
        <w:rPr>
          <w:rFonts w:ascii="Verdana" w:eastAsia="Verdana" w:hAnsi="Verdana" w:cs="Verdana"/>
          <w:b/>
          <w:bCs/>
          <w:u w:val="single"/>
          <w:lang w:val="es"/>
        </w:rPr>
        <w:t>Q</w:t>
      </w:r>
      <w:r w:rsidR="1F67D531" w:rsidRPr="18F40C24">
        <w:rPr>
          <w:rFonts w:ascii="Verdana" w:eastAsia="Verdana" w:hAnsi="Verdana" w:cs="Verdana"/>
          <w:b/>
          <w:bCs/>
          <w:lang w:val="es"/>
        </w:rPr>
        <w:t>ue se documenten en los antecedentes contractuales las razones de conveniencia; II) se gestione el concepto previo de la Agencia Nacional de Defensa Jurídica del Estado; III) que en el proceso de designación del árbitro se promueva activamente la consideración de candidatas mujeres, en armonía lo establecido por la Directiva Presidencial.</w:t>
      </w:r>
      <w:r w:rsidR="1F67D531" w:rsidRPr="18F40C24">
        <w:rPr>
          <w:rFonts w:ascii="Verdana" w:eastAsia="Verdana" w:hAnsi="Verdana" w:cs="Verdana"/>
        </w:rPr>
        <w:t xml:space="preserve"> </w:t>
      </w:r>
    </w:p>
    <w:p w14:paraId="36FA9F56" w14:textId="3B807BFC" w:rsidR="000C1705" w:rsidRPr="006C3E81" w:rsidRDefault="00A13C5C" w:rsidP="006C3E81">
      <w:pPr>
        <w:pStyle w:val="Prrafodelista"/>
        <w:numPr>
          <w:ilvl w:val="0"/>
          <w:numId w:val="48"/>
        </w:numPr>
        <w:spacing w:after="240" w:line="276" w:lineRule="auto"/>
        <w:jc w:val="both"/>
        <w:rPr>
          <w:rFonts w:ascii="Verdana" w:hAnsi="Verdana" w:cs="Arial"/>
          <w:b/>
          <w:bCs/>
          <w:lang w:eastAsia="es-ES"/>
        </w:rPr>
      </w:pPr>
      <w:r w:rsidRPr="00A13C5C">
        <w:rPr>
          <w:rFonts w:ascii="Verdana" w:hAnsi="Verdana" w:cs="Arial"/>
          <w:b/>
          <w:bCs/>
          <w:lang w:eastAsia="es-ES"/>
        </w:rPr>
        <w:lastRenderedPageBreak/>
        <w:t xml:space="preserve">RESPUESTA frente a la solicitud sobre la Directiva </w:t>
      </w:r>
      <w:r w:rsidRPr="006C0824">
        <w:rPr>
          <w:rFonts w:ascii="Verdana" w:hAnsi="Verdana" w:cs="Arial"/>
          <w:b/>
          <w:bCs/>
          <w:lang w:eastAsia="es-ES"/>
        </w:rPr>
        <w:t>Presidencia</w:t>
      </w:r>
      <w:r w:rsidR="000456F8" w:rsidRPr="006C0824">
        <w:rPr>
          <w:rFonts w:ascii="Verdana" w:hAnsi="Verdana" w:cs="Arial"/>
          <w:b/>
          <w:bCs/>
          <w:lang w:eastAsia="es-ES"/>
        </w:rPr>
        <w:t>l</w:t>
      </w:r>
      <w:r w:rsidRPr="006C0824">
        <w:rPr>
          <w:rFonts w:ascii="Verdana" w:hAnsi="Verdana" w:cs="Arial"/>
          <w:b/>
          <w:bCs/>
          <w:lang w:eastAsia="es-ES"/>
        </w:rPr>
        <w:t xml:space="preserve"> 05 de 2025: </w:t>
      </w:r>
    </w:p>
    <w:p w14:paraId="1F09E4FF" w14:textId="26F30ADD" w:rsidR="006C0824" w:rsidRPr="006C0824" w:rsidRDefault="00A13C5C" w:rsidP="006C0824">
      <w:pPr>
        <w:pStyle w:val="Prrafodelista"/>
        <w:numPr>
          <w:ilvl w:val="1"/>
          <w:numId w:val="48"/>
        </w:numPr>
        <w:spacing w:after="240" w:line="276" w:lineRule="auto"/>
        <w:jc w:val="both"/>
        <w:rPr>
          <w:rFonts w:ascii="Verdana" w:hAnsi="Verdana" w:cs="Arial"/>
          <w:b/>
          <w:bCs/>
          <w:lang w:eastAsia="es-ES"/>
        </w:rPr>
      </w:pPr>
      <w:r w:rsidRPr="006C0824">
        <w:rPr>
          <w:rFonts w:ascii="Verdana" w:hAnsi="Verdana" w:cs="Arial"/>
          <w:b/>
          <w:bCs/>
          <w:lang w:eastAsia="es-ES"/>
        </w:rPr>
        <w:t>Sobre la solicitud de gestiones determinadas en la Directiva Presidencial 05 de 2025 que procedan</w:t>
      </w:r>
      <w:r w:rsidR="006C0824" w:rsidRPr="006C0824">
        <w:rPr>
          <w:rFonts w:ascii="Verdana" w:hAnsi="Verdana" w:cs="Arial"/>
          <w:b/>
          <w:bCs/>
          <w:lang w:eastAsia="es-ES"/>
        </w:rPr>
        <w:t>.</w:t>
      </w:r>
    </w:p>
    <w:p w14:paraId="669CC285" w14:textId="77777777" w:rsidR="00F24B25" w:rsidRDefault="00F24B25" w:rsidP="006C0824">
      <w:pPr>
        <w:spacing w:after="240" w:line="276" w:lineRule="auto"/>
        <w:jc w:val="both"/>
        <w:rPr>
          <w:rFonts w:ascii="Verdana" w:hAnsi="Verdana" w:cs="Arial"/>
          <w:lang w:eastAsia="es-ES"/>
        </w:rPr>
      </w:pPr>
      <w:r>
        <w:rPr>
          <w:rFonts w:ascii="Verdana" w:hAnsi="Verdana" w:cs="Arial"/>
          <w:lang w:eastAsia="es-ES"/>
        </w:rPr>
        <w:t>En línea con lo mencionado en el anterior acápite, la Directiva Presidencial establece varios pasos a seguir por parte de la Entidad interesada en suscribir una cláusula compromisoria de alcance nacional o internacional. Dentro de estos pasos se destacan diferentes actores responsables de la concreción de la gestión pertinente, siendo así que la Oficina Asesora Jurídica del Ministerio de Ambiente y Desarrollo Sostenible no es la única responsable para concretar todos los pasos de que trata la Directiva.</w:t>
      </w:r>
    </w:p>
    <w:p w14:paraId="459238D0" w14:textId="180B0CAC" w:rsidR="00F24B25" w:rsidRPr="006C0824" w:rsidRDefault="00F24B25" w:rsidP="006C0824">
      <w:pPr>
        <w:spacing w:after="240" w:line="276" w:lineRule="auto"/>
        <w:jc w:val="both"/>
        <w:rPr>
          <w:rFonts w:ascii="Verdana" w:hAnsi="Verdana" w:cs="Arial"/>
          <w:lang w:eastAsia="es-ES"/>
        </w:rPr>
      </w:pPr>
      <w:r>
        <w:rPr>
          <w:rFonts w:ascii="Verdana" w:hAnsi="Verdana" w:cs="Arial"/>
          <w:lang w:eastAsia="es-ES"/>
        </w:rPr>
        <w:t xml:space="preserve">Así las cosas, a </w:t>
      </w:r>
      <w:r w:rsidR="00DF6019">
        <w:rPr>
          <w:rFonts w:ascii="Verdana" w:hAnsi="Verdana" w:cs="Arial"/>
          <w:lang w:eastAsia="es-ES"/>
        </w:rPr>
        <w:t>continuación,</w:t>
      </w:r>
      <w:r>
        <w:rPr>
          <w:rFonts w:ascii="Verdana" w:hAnsi="Verdana" w:cs="Arial"/>
          <w:lang w:eastAsia="es-ES"/>
        </w:rPr>
        <w:t xml:space="preserve"> se ilustra cuáles serían los responsables de cada gestión establecida en la Directiva</w:t>
      </w:r>
      <w:r w:rsidR="00543C57">
        <w:rPr>
          <w:rFonts w:ascii="Verdana" w:hAnsi="Verdana" w:cs="Arial"/>
          <w:lang w:eastAsia="es-ES"/>
        </w:rPr>
        <w:t xml:space="preserve"> Presidencial No. 5 de 2025</w:t>
      </w:r>
      <w:r>
        <w:rPr>
          <w:rFonts w:ascii="Verdana" w:hAnsi="Verdana" w:cs="Arial"/>
          <w:lang w:eastAsia="es-ES"/>
        </w:rPr>
        <w:t>:</w:t>
      </w:r>
    </w:p>
    <w:tbl>
      <w:tblPr>
        <w:tblStyle w:val="Tablaconcuadrcula"/>
        <w:tblW w:w="0" w:type="auto"/>
        <w:tblLook w:val="04A0" w:firstRow="1" w:lastRow="0" w:firstColumn="1" w:lastColumn="0" w:noHBand="0" w:noVBand="1"/>
      </w:tblPr>
      <w:tblGrid>
        <w:gridCol w:w="2263"/>
        <w:gridCol w:w="6565"/>
      </w:tblGrid>
      <w:tr w:rsidR="00F24B25" w14:paraId="3DEABBFD" w14:textId="77777777" w:rsidTr="00543C57">
        <w:tc>
          <w:tcPr>
            <w:tcW w:w="2263" w:type="dxa"/>
            <w:shd w:val="clear" w:color="auto" w:fill="C5E0B3" w:themeFill="accent6" w:themeFillTint="66"/>
          </w:tcPr>
          <w:p w14:paraId="0B5D4BFC" w14:textId="444C8D4C" w:rsidR="00F24B25" w:rsidRPr="00F24B25" w:rsidRDefault="00F24B25" w:rsidP="00F24B25">
            <w:pPr>
              <w:spacing w:after="240" w:line="276" w:lineRule="auto"/>
              <w:jc w:val="center"/>
              <w:rPr>
                <w:rFonts w:ascii="Verdana" w:hAnsi="Verdana" w:cs="Arial"/>
                <w:b/>
                <w:bCs/>
                <w:lang w:eastAsia="es-ES"/>
              </w:rPr>
            </w:pPr>
            <w:r w:rsidRPr="00F24B25">
              <w:rPr>
                <w:rFonts w:ascii="Verdana" w:hAnsi="Verdana" w:cs="Arial"/>
                <w:b/>
                <w:bCs/>
                <w:lang w:eastAsia="es-ES"/>
              </w:rPr>
              <w:t xml:space="preserve">Gestión </w:t>
            </w:r>
          </w:p>
        </w:tc>
        <w:tc>
          <w:tcPr>
            <w:tcW w:w="6565" w:type="dxa"/>
            <w:shd w:val="clear" w:color="auto" w:fill="C5E0B3" w:themeFill="accent6" w:themeFillTint="66"/>
          </w:tcPr>
          <w:p w14:paraId="1538C503" w14:textId="0DD94164" w:rsidR="00F24B25" w:rsidRPr="00F24B25" w:rsidRDefault="00F24B25" w:rsidP="00F24B25">
            <w:pPr>
              <w:spacing w:after="240" w:line="276" w:lineRule="auto"/>
              <w:jc w:val="center"/>
              <w:rPr>
                <w:rFonts w:ascii="Verdana" w:hAnsi="Verdana" w:cs="Arial"/>
                <w:b/>
                <w:bCs/>
                <w:lang w:eastAsia="es-ES"/>
              </w:rPr>
            </w:pPr>
            <w:r w:rsidRPr="00F24B25">
              <w:rPr>
                <w:rFonts w:ascii="Verdana" w:hAnsi="Verdana" w:cs="Arial"/>
                <w:b/>
                <w:bCs/>
                <w:lang w:eastAsia="es-ES"/>
              </w:rPr>
              <w:t>Responsable</w:t>
            </w:r>
            <w:r>
              <w:rPr>
                <w:rFonts w:ascii="Verdana" w:hAnsi="Verdana" w:cs="Arial"/>
                <w:b/>
                <w:bCs/>
                <w:lang w:eastAsia="es-ES"/>
              </w:rPr>
              <w:t>(s)</w:t>
            </w:r>
          </w:p>
        </w:tc>
      </w:tr>
      <w:tr w:rsidR="00F24B25" w14:paraId="46459565" w14:textId="77777777" w:rsidTr="00543C57">
        <w:tc>
          <w:tcPr>
            <w:tcW w:w="2263" w:type="dxa"/>
          </w:tcPr>
          <w:p w14:paraId="713A9FB7" w14:textId="7F57817E" w:rsidR="00F24B25" w:rsidRPr="00543C57" w:rsidRDefault="00F24B25" w:rsidP="006C0824">
            <w:pPr>
              <w:spacing w:after="240" w:line="276" w:lineRule="auto"/>
              <w:jc w:val="both"/>
              <w:rPr>
                <w:rFonts w:ascii="Verdana" w:hAnsi="Verdana" w:cs="Arial"/>
                <w:lang w:eastAsia="es-ES"/>
              </w:rPr>
            </w:pPr>
            <w:r w:rsidRPr="00543C57">
              <w:rPr>
                <w:rFonts w:ascii="Verdana" w:hAnsi="Verdana" w:cs="Arial"/>
                <w:lang w:eastAsia="es-ES"/>
              </w:rPr>
              <w:t xml:space="preserve">“1. Contar con el </w:t>
            </w:r>
            <w:r w:rsidRPr="00543C57">
              <w:rPr>
                <w:rFonts w:ascii="Verdana" w:hAnsi="Verdana" w:cs="Arial"/>
                <w:b/>
                <w:bCs/>
                <w:lang w:eastAsia="es-ES"/>
              </w:rPr>
              <w:t>previo concepto</w:t>
            </w:r>
            <w:r w:rsidRPr="00543C57">
              <w:rPr>
                <w:rFonts w:ascii="Verdana" w:hAnsi="Verdana" w:cs="Arial"/>
                <w:lang w:eastAsia="es-ES"/>
              </w:rPr>
              <w:t xml:space="preserve"> de los(las) </w:t>
            </w:r>
            <w:r w:rsidRPr="00543C57">
              <w:rPr>
                <w:rFonts w:ascii="Verdana" w:hAnsi="Verdana" w:cs="Arial"/>
                <w:u w:val="single"/>
                <w:lang w:eastAsia="es-ES"/>
              </w:rPr>
              <w:t>jefes de oficina jurídica, direcciones jurídicas o quienes hagan sus veces</w:t>
            </w:r>
            <w:r w:rsidRPr="00543C57">
              <w:rPr>
                <w:rFonts w:ascii="Verdana" w:hAnsi="Verdana" w:cs="Arial"/>
                <w:lang w:eastAsia="es-ES"/>
              </w:rPr>
              <w:t xml:space="preserve">, sobre la </w:t>
            </w:r>
            <w:r w:rsidRPr="00543C57">
              <w:rPr>
                <w:rFonts w:ascii="Verdana" w:hAnsi="Verdana" w:cs="Arial"/>
                <w:b/>
                <w:bCs/>
                <w:lang w:eastAsia="es-ES"/>
              </w:rPr>
              <w:t>conveniencia jurídica y económica</w:t>
            </w:r>
            <w:r w:rsidRPr="00543C57">
              <w:rPr>
                <w:rFonts w:ascii="Verdana" w:hAnsi="Verdana" w:cs="Arial"/>
                <w:lang w:eastAsia="es-ES"/>
              </w:rPr>
              <w:t>.”</w:t>
            </w:r>
          </w:p>
        </w:tc>
        <w:tc>
          <w:tcPr>
            <w:tcW w:w="6565" w:type="dxa"/>
          </w:tcPr>
          <w:p w14:paraId="710E2245" w14:textId="36F848DD" w:rsidR="00B50A4A" w:rsidRPr="00543C57" w:rsidRDefault="00F24B25" w:rsidP="006C0824">
            <w:pPr>
              <w:spacing w:after="240" w:line="276" w:lineRule="auto"/>
              <w:jc w:val="both"/>
              <w:rPr>
                <w:rFonts w:ascii="Verdana" w:hAnsi="Verdana" w:cs="Arial"/>
                <w:sz w:val="22"/>
                <w:szCs w:val="22"/>
                <w:lang w:eastAsia="es-ES"/>
              </w:rPr>
            </w:pPr>
            <w:r w:rsidRPr="00543C57">
              <w:rPr>
                <w:rFonts w:ascii="Verdana" w:hAnsi="Verdana" w:cs="Arial"/>
                <w:b/>
                <w:bCs/>
                <w:sz w:val="22"/>
                <w:szCs w:val="22"/>
                <w:lang w:eastAsia="es-ES"/>
              </w:rPr>
              <w:t>Oficina Asesora Jurídica</w:t>
            </w:r>
            <w:r w:rsidRPr="00543C57">
              <w:rPr>
                <w:rFonts w:ascii="Verdana" w:hAnsi="Verdana" w:cs="Arial"/>
                <w:sz w:val="22"/>
                <w:szCs w:val="22"/>
                <w:lang w:eastAsia="es-ES"/>
              </w:rPr>
              <w:t xml:space="preserve"> para conceptuar respecto de la </w:t>
            </w:r>
            <w:r w:rsidRPr="00543C57">
              <w:rPr>
                <w:rFonts w:ascii="Verdana" w:hAnsi="Verdana" w:cs="Arial"/>
                <w:b/>
                <w:bCs/>
                <w:sz w:val="22"/>
                <w:szCs w:val="22"/>
                <w:lang w:eastAsia="es-ES"/>
              </w:rPr>
              <w:t>conveniencia jurídica</w:t>
            </w:r>
            <w:r w:rsidRPr="00543C57">
              <w:rPr>
                <w:rFonts w:ascii="Verdana" w:hAnsi="Verdana" w:cs="Arial"/>
                <w:sz w:val="22"/>
                <w:szCs w:val="22"/>
                <w:lang w:eastAsia="es-ES"/>
              </w:rPr>
              <w:t xml:space="preserve">, con apoyo de la </w:t>
            </w:r>
            <w:r w:rsidRPr="00543C57">
              <w:rPr>
                <w:rFonts w:ascii="Verdana" w:hAnsi="Verdana" w:cs="Arial"/>
                <w:b/>
                <w:bCs/>
                <w:sz w:val="22"/>
                <w:szCs w:val="22"/>
                <w:lang w:eastAsia="es-ES"/>
              </w:rPr>
              <w:t>Subdirección Administrativa y Financiera</w:t>
            </w:r>
            <w:r w:rsidRPr="00543C57">
              <w:rPr>
                <w:rFonts w:ascii="Verdana" w:hAnsi="Verdana" w:cs="Arial"/>
                <w:sz w:val="22"/>
                <w:szCs w:val="22"/>
                <w:lang w:eastAsia="es-ES"/>
              </w:rPr>
              <w:t xml:space="preserve"> y de la </w:t>
            </w:r>
            <w:r w:rsidRPr="00543C57">
              <w:rPr>
                <w:rFonts w:ascii="Verdana" w:hAnsi="Verdana" w:cs="Arial"/>
                <w:b/>
                <w:bCs/>
                <w:sz w:val="22"/>
                <w:szCs w:val="22"/>
                <w:lang w:eastAsia="es-ES"/>
              </w:rPr>
              <w:t>Oficina Asesora de Planeación</w:t>
            </w:r>
            <w:r w:rsidRPr="00543C57">
              <w:rPr>
                <w:rFonts w:ascii="Verdana" w:hAnsi="Verdana" w:cs="Arial"/>
                <w:sz w:val="22"/>
                <w:szCs w:val="22"/>
                <w:lang w:eastAsia="es-ES"/>
              </w:rPr>
              <w:t xml:space="preserve"> del Ministerio de Ambiente</w:t>
            </w:r>
            <w:r w:rsidR="00602556" w:rsidRPr="00543C57">
              <w:rPr>
                <w:rFonts w:ascii="Verdana" w:hAnsi="Verdana" w:cs="Arial"/>
                <w:sz w:val="22"/>
                <w:szCs w:val="22"/>
                <w:lang w:eastAsia="es-ES"/>
              </w:rPr>
              <w:t xml:space="preserve"> y Desarrollo Sostenible</w:t>
            </w:r>
            <w:r w:rsidRPr="00543C57">
              <w:rPr>
                <w:rFonts w:ascii="Verdana" w:hAnsi="Verdana" w:cs="Arial"/>
                <w:sz w:val="22"/>
                <w:szCs w:val="22"/>
                <w:lang w:eastAsia="es-ES"/>
              </w:rPr>
              <w:t xml:space="preserve"> para conceptuar respecto de la conveniencia económica.</w:t>
            </w:r>
          </w:p>
        </w:tc>
      </w:tr>
      <w:tr w:rsidR="00F24B25" w14:paraId="23487869" w14:textId="77777777" w:rsidTr="00543C57">
        <w:tc>
          <w:tcPr>
            <w:tcW w:w="2263" w:type="dxa"/>
          </w:tcPr>
          <w:p w14:paraId="768125EB" w14:textId="250E97C7" w:rsidR="00F24B25" w:rsidRPr="00543C57" w:rsidRDefault="00F24B25" w:rsidP="006C0824">
            <w:pPr>
              <w:spacing w:after="240" w:line="276" w:lineRule="auto"/>
              <w:jc w:val="both"/>
              <w:rPr>
                <w:rFonts w:ascii="Verdana" w:hAnsi="Verdana" w:cs="Arial"/>
                <w:lang w:eastAsia="es-ES"/>
              </w:rPr>
            </w:pPr>
            <w:r w:rsidRPr="00543C57">
              <w:rPr>
                <w:rFonts w:ascii="Verdana" w:hAnsi="Verdana" w:cs="Arial"/>
                <w:lang w:eastAsia="es-ES"/>
              </w:rPr>
              <w:t xml:space="preserve">“2. Documentar dentro de los antecedentes contractuales las </w:t>
            </w:r>
            <w:r w:rsidRPr="00543C57">
              <w:rPr>
                <w:rFonts w:ascii="Verdana" w:hAnsi="Verdana" w:cs="Arial"/>
                <w:b/>
                <w:bCs/>
                <w:lang w:eastAsia="es-ES"/>
              </w:rPr>
              <w:t xml:space="preserve">razones que </w:t>
            </w:r>
            <w:r w:rsidRPr="00543C57">
              <w:rPr>
                <w:rFonts w:ascii="Verdana" w:hAnsi="Verdana" w:cs="Arial"/>
                <w:b/>
                <w:bCs/>
                <w:lang w:eastAsia="es-ES"/>
              </w:rPr>
              <w:lastRenderedPageBreak/>
              <w:t>justifican esta decisión”.</w:t>
            </w:r>
          </w:p>
        </w:tc>
        <w:tc>
          <w:tcPr>
            <w:tcW w:w="6565" w:type="dxa"/>
          </w:tcPr>
          <w:p w14:paraId="16AE28AD" w14:textId="77777777" w:rsidR="00543C57" w:rsidRPr="00543C57" w:rsidRDefault="00F24B25" w:rsidP="00B50A4A">
            <w:pPr>
              <w:shd w:val="clear" w:color="auto" w:fill="FFFFFF"/>
              <w:spacing w:before="100" w:beforeAutospacing="1"/>
              <w:jc w:val="both"/>
              <w:rPr>
                <w:rFonts w:ascii="Verdana" w:hAnsi="Verdana" w:cs="Arial"/>
                <w:sz w:val="22"/>
                <w:szCs w:val="22"/>
                <w:lang w:eastAsia="es-ES"/>
              </w:rPr>
            </w:pPr>
            <w:r w:rsidRPr="00543C57">
              <w:rPr>
                <w:rFonts w:ascii="Verdana" w:hAnsi="Verdana" w:cs="Arial"/>
                <w:b/>
                <w:bCs/>
                <w:sz w:val="22"/>
                <w:szCs w:val="22"/>
                <w:lang w:eastAsia="es-ES"/>
              </w:rPr>
              <w:lastRenderedPageBreak/>
              <w:t>Oficina de Asuntos Internacionales</w:t>
            </w:r>
            <w:r w:rsidRPr="00543C57">
              <w:rPr>
                <w:rFonts w:ascii="Verdana" w:hAnsi="Verdana" w:cs="Arial"/>
                <w:sz w:val="22"/>
                <w:szCs w:val="22"/>
                <w:lang w:eastAsia="es-ES"/>
              </w:rPr>
              <w:t>,</w:t>
            </w:r>
            <w:r w:rsidR="00B50A4A" w:rsidRPr="00543C57">
              <w:rPr>
                <w:rFonts w:ascii="Verdana" w:hAnsi="Verdana" w:cs="Arial"/>
                <w:sz w:val="22"/>
                <w:szCs w:val="22"/>
                <w:lang w:eastAsia="es-ES"/>
              </w:rPr>
              <w:t xml:space="preserve"> conforme a l</w:t>
            </w:r>
            <w:r w:rsidR="00543C57" w:rsidRPr="00543C57">
              <w:rPr>
                <w:rFonts w:ascii="Verdana" w:hAnsi="Verdana" w:cs="Arial"/>
                <w:sz w:val="22"/>
                <w:szCs w:val="22"/>
                <w:lang w:eastAsia="es-ES"/>
              </w:rPr>
              <w:t>as funciones y competencias comprendidas en los</w:t>
            </w:r>
            <w:r w:rsidR="00B50A4A" w:rsidRPr="00543C57">
              <w:rPr>
                <w:rFonts w:ascii="Verdana" w:hAnsi="Verdana" w:cs="Arial"/>
                <w:sz w:val="22"/>
                <w:szCs w:val="22"/>
                <w:lang w:eastAsia="es-ES"/>
              </w:rPr>
              <w:t xml:space="preserve"> numerales 2</w:t>
            </w:r>
            <w:r w:rsidR="00543C57" w:rsidRPr="00543C57">
              <w:rPr>
                <w:rFonts w:ascii="Verdana" w:hAnsi="Verdana" w:cs="Arial"/>
                <w:sz w:val="22"/>
                <w:szCs w:val="22"/>
                <w:lang w:eastAsia="es-ES"/>
              </w:rPr>
              <w:t xml:space="preserve">, </w:t>
            </w:r>
            <w:r w:rsidR="00B50A4A" w:rsidRPr="00543C57">
              <w:rPr>
                <w:rFonts w:ascii="Verdana" w:hAnsi="Verdana" w:cs="Arial"/>
                <w:sz w:val="22"/>
                <w:szCs w:val="22"/>
                <w:lang w:eastAsia="es-ES"/>
              </w:rPr>
              <w:t>3</w:t>
            </w:r>
            <w:r w:rsidR="00543C57" w:rsidRPr="00543C57">
              <w:rPr>
                <w:rFonts w:ascii="Verdana" w:hAnsi="Verdana" w:cs="Arial"/>
                <w:sz w:val="22"/>
                <w:szCs w:val="22"/>
                <w:lang w:eastAsia="es-ES"/>
              </w:rPr>
              <w:t xml:space="preserve">, 8, 9 y 12 </w:t>
            </w:r>
            <w:r w:rsidR="00B50A4A" w:rsidRPr="00543C57">
              <w:rPr>
                <w:rFonts w:ascii="Verdana" w:hAnsi="Verdana" w:cs="Arial"/>
                <w:sz w:val="22"/>
                <w:szCs w:val="22"/>
                <w:lang w:eastAsia="es-ES"/>
              </w:rPr>
              <w:t xml:space="preserve">del artículo 12 del Decreto 3570 de 2011 que establece: </w:t>
            </w:r>
          </w:p>
          <w:p w14:paraId="3035A778" w14:textId="0AB9D85D" w:rsidR="00B50A4A" w:rsidRPr="00543C57" w:rsidRDefault="00B50A4A" w:rsidP="00B50A4A">
            <w:pPr>
              <w:shd w:val="clear" w:color="auto" w:fill="FFFFFF"/>
              <w:spacing w:before="100" w:beforeAutospacing="1"/>
              <w:jc w:val="both"/>
              <w:rPr>
                <w:rFonts w:ascii="Verdana" w:hAnsi="Verdana" w:cs="Arial"/>
                <w:i/>
                <w:iCs/>
                <w:sz w:val="18"/>
                <w:szCs w:val="18"/>
                <w:lang w:eastAsia="es-ES"/>
              </w:rPr>
            </w:pPr>
            <w:r w:rsidRPr="00543C57">
              <w:rPr>
                <w:rFonts w:ascii="Verdana" w:hAnsi="Verdana" w:cs="Arial"/>
                <w:i/>
                <w:iCs/>
                <w:sz w:val="18"/>
                <w:szCs w:val="18"/>
                <w:lang w:eastAsia="es-ES"/>
              </w:rPr>
              <w:t xml:space="preserve">“ARTÍCULO 12. Funciones, de la Oficina de Asuntos Internacionales. Son funciones de la Oficina de Asuntos Internacionales: </w:t>
            </w:r>
          </w:p>
          <w:p w14:paraId="6FE175E8" w14:textId="77777777" w:rsidR="00543C57" w:rsidRPr="00543C57" w:rsidRDefault="00B50A4A" w:rsidP="00B50A4A">
            <w:pPr>
              <w:shd w:val="clear" w:color="auto" w:fill="FFFFFF"/>
              <w:spacing w:before="100" w:beforeAutospacing="1"/>
              <w:jc w:val="both"/>
              <w:rPr>
                <w:rFonts w:ascii="Verdana" w:hAnsi="Verdana" w:cs="Arial"/>
                <w:i/>
                <w:iCs/>
                <w:sz w:val="18"/>
                <w:szCs w:val="18"/>
                <w:lang w:eastAsia="es-ES"/>
              </w:rPr>
            </w:pPr>
            <w:r w:rsidRPr="00543C57">
              <w:rPr>
                <w:rFonts w:ascii="Verdana" w:hAnsi="Verdana" w:cs="Arial"/>
                <w:i/>
                <w:iCs/>
                <w:sz w:val="18"/>
                <w:szCs w:val="18"/>
                <w:lang w:eastAsia="es-ES"/>
              </w:rPr>
              <w:lastRenderedPageBreak/>
              <w:t xml:space="preserve">(…) </w:t>
            </w:r>
          </w:p>
          <w:p w14:paraId="52A852B0" w14:textId="325B33DD" w:rsidR="00B50A4A" w:rsidRPr="00543C57" w:rsidRDefault="00B50A4A" w:rsidP="00B50A4A">
            <w:pPr>
              <w:shd w:val="clear" w:color="auto" w:fill="FFFFFF"/>
              <w:spacing w:before="100" w:beforeAutospacing="1"/>
              <w:jc w:val="both"/>
              <w:rPr>
                <w:rFonts w:ascii="Verdana" w:hAnsi="Verdana" w:cs="Arial"/>
                <w:i/>
                <w:iCs/>
                <w:sz w:val="18"/>
                <w:szCs w:val="18"/>
                <w:lang w:eastAsia="es-ES"/>
              </w:rPr>
            </w:pPr>
            <w:r w:rsidRPr="00543C57">
              <w:rPr>
                <w:rFonts w:ascii="Verdana" w:hAnsi="Verdana" w:cs="Arial"/>
                <w:i/>
                <w:iCs/>
                <w:sz w:val="18"/>
                <w:szCs w:val="18"/>
                <w:lang w:eastAsia="es-ES"/>
              </w:rPr>
              <w:t>2. Participar en las negociaciones para la adopción y suscripción de instrumentos internacionales en temas del Sector Administrativo de Ambiente y Desarrollo Sostenible, en coordinación con el Ministerio de Relaciones Exteriores.</w:t>
            </w:r>
          </w:p>
          <w:p w14:paraId="1E79008F" w14:textId="77777777" w:rsidR="00B50A4A" w:rsidRPr="00543C57" w:rsidRDefault="00B50A4A" w:rsidP="00B50A4A">
            <w:pPr>
              <w:shd w:val="clear" w:color="auto" w:fill="FFFFFF"/>
              <w:spacing w:before="100" w:beforeAutospacing="1"/>
              <w:jc w:val="both"/>
              <w:rPr>
                <w:rFonts w:ascii="Verdana" w:hAnsi="Verdana" w:cs="Arial"/>
                <w:i/>
                <w:iCs/>
                <w:sz w:val="18"/>
                <w:szCs w:val="18"/>
                <w:lang w:eastAsia="es-ES"/>
              </w:rPr>
            </w:pPr>
            <w:r w:rsidRPr="00543C57">
              <w:rPr>
                <w:rFonts w:ascii="Verdana" w:hAnsi="Verdana" w:cs="Arial"/>
                <w:i/>
                <w:iCs/>
                <w:sz w:val="18"/>
                <w:szCs w:val="18"/>
                <w:lang w:eastAsia="es-ES"/>
              </w:rPr>
              <w:t xml:space="preserve">3. Recomendar al </w:t>
            </w:r>
            <w:proofErr w:type="gramStart"/>
            <w:r w:rsidRPr="00543C57">
              <w:rPr>
                <w:rFonts w:ascii="Verdana" w:hAnsi="Verdana" w:cs="Arial"/>
                <w:i/>
                <w:iCs/>
                <w:sz w:val="18"/>
                <w:szCs w:val="18"/>
                <w:lang w:eastAsia="es-ES"/>
              </w:rPr>
              <w:t>Ministro</w:t>
            </w:r>
            <w:proofErr w:type="gramEnd"/>
            <w:r w:rsidRPr="00543C57">
              <w:rPr>
                <w:rFonts w:ascii="Verdana" w:hAnsi="Verdana" w:cs="Arial"/>
                <w:i/>
                <w:iCs/>
                <w:sz w:val="18"/>
                <w:szCs w:val="18"/>
                <w:lang w:eastAsia="es-ES"/>
              </w:rPr>
              <w:t xml:space="preserve"> las políticas en materia de cooperación internacional, y elaborar en coordinación con el Ministerio de Relaciones Exteriores proyectos de tratados e instrumentos internacionales en materia de cooperación ambiental y desarrollo sostenible.</w:t>
            </w:r>
          </w:p>
          <w:p w14:paraId="7EC407F1" w14:textId="2ECB1E8F" w:rsidR="00543C57" w:rsidRPr="00543C57" w:rsidRDefault="00543C57" w:rsidP="00B50A4A">
            <w:pPr>
              <w:shd w:val="clear" w:color="auto" w:fill="FFFFFF"/>
              <w:spacing w:before="100" w:beforeAutospacing="1"/>
              <w:jc w:val="both"/>
              <w:rPr>
                <w:rFonts w:ascii="Verdana" w:hAnsi="Verdana" w:cs="Arial"/>
                <w:i/>
                <w:iCs/>
                <w:sz w:val="18"/>
                <w:szCs w:val="18"/>
                <w:lang w:eastAsia="es-ES"/>
              </w:rPr>
            </w:pPr>
            <w:r w:rsidRPr="00543C57">
              <w:rPr>
                <w:rFonts w:ascii="Verdana" w:hAnsi="Verdana" w:cs="Arial"/>
                <w:i/>
                <w:iCs/>
                <w:sz w:val="18"/>
                <w:szCs w:val="18"/>
                <w:lang w:eastAsia="es-ES"/>
              </w:rPr>
              <w:t>(…)</w:t>
            </w:r>
          </w:p>
          <w:p w14:paraId="769626EF" w14:textId="25C71C86" w:rsidR="00543C57" w:rsidRPr="00543C57" w:rsidRDefault="00543C57" w:rsidP="00543C57">
            <w:pPr>
              <w:shd w:val="clear" w:color="auto" w:fill="FFFFFF"/>
              <w:spacing w:before="100" w:beforeAutospacing="1"/>
              <w:jc w:val="both"/>
              <w:rPr>
                <w:rFonts w:ascii="Verdana" w:hAnsi="Verdana" w:cs="Arial"/>
                <w:i/>
                <w:iCs/>
                <w:sz w:val="18"/>
                <w:szCs w:val="18"/>
                <w:lang w:eastAsia="es-ES"/>
              </w:rPr>
            </w:pPr>
            <w:r w:rsidRPr="00543C57">
              <w:rPr>
                <w:rFonts w:ascii="Verdana" w:hAnsi="Verdana" w:cs="Arial"/>
                <w:i/>
                <w:iCs/>
                <w:sz w:val="18"/>
                <w:szCs w:val="18"/>
                <w:lang w:eastAsia="es-ES"/>
              </w:rPr>
              <w:t xml:space="preserve">8. Preparar, en colaboración con los ministerios competentes las negociaciones internacionales, y atender </w:t>
            </w:r>
            <w:proofErr w:type="gramStart"/>
            <w:r w:rsidRPr="00543C57">
              <w:rPr>
                <w:rFonts w:ascii="Verdana" w:hAnsi="Verdana" w:cs="Arial"/>
                <w:i/>
                <w:iCs/>
                <w:sz w:val="18"/>
                <w:szCs w:val="18"/>
                <w:lang w:eastAsia="es-ES"/>
              </w:rPr>
              <w:t>conjuntamente con</w:t>
            </w:r>
            <w:proofErr w:type="gramEnd"/>
            <w:r w:rsidRPr="00543C57">
              <w:rPr>
                <w:rFonts w:ascii="Verdana" w:hAnsi="Verdana" w:cs="Arial"/>
                <w:i/>
                <w:iCs/>
                <w:sz w:val="18"/>
                <w:szCs w:val="18"/>
                <w:lang w:eastAsia="es-ES"/>
              </w:rPr>
              <w:t xml:space="preserve"> las dependencias respectivas del Ministerio en dichas negociaciones.</w:t>
            </w:r>
          </w:p>
          <w:p w14:paraId="2059809C" w14:textId="5E6B7AB5" w:rsidR="00543C57" w:rsidRPr="00543C57" w:rsidRDefault="00543C57" w:rsidP="00B50A4A">
            <w:pPr>
              <w:shd w:val="clear" w:color="auto" w:fill="FFFFFF"/>
              <w:spacing w:before="100" w:beforeAutospacing="1"/>
              <w:jc w:val="both"/>
              <w:rPr>
                <w:rFonts w:ascii="Verdana" w:hAnsi="Verdana" w:cs="Arial"/>
                <w:i/>
                <w:iCs/>
                <w:sz w:val="18"/>
                <w:szCs w:val="18"/>
                <w:lang w:eastAsia="es-ES"/>
              </w:rPr>
            </w:pPr>
            <w:r w:rsidRPr="00543C57">
              <w:rPr>
                <w:rFonts w:ascii="Verdana" w:hAnsi="Verdana" w:cs="Arial"/>
                <w:i/>
                <w:iCs/>
                <w:sz w:val="18"/>
                <w:szCs w:val="18"/>
                <w:lang w:eastAsia="es-ES"/>
              </w:rPr>
              <w:t>9. Coordinar con las entidades que conforman el Sector Administrativo, los programas, planes y proyectos que se desarrollen en asuntos de cooperación ambiental y desarrollo sostenible.</w:t>
            </w:r>
          </w:p>
          <w:p w14:paraId="6B417ECD" w14:textId="46E63247" w:rsidR="00543C57" w:rsidRPr="00543C57" w:rsidRDefault="00543C57" w:rsidP="00B50A4A">
            <w:pPr>
              <w:shd w:val="clear" w:color="auto" w:fill="FFFFFF"/>
              <w:spacing w:before="100" w:beforeAutospacing="1"/>
              <w:jc w:val="both"/>
              <w:rPr>
                <w:rFonts w:ascii="Verdana" w:hAnsi="Verdana" w:cs="Arial"/>
                <w:i/>
                <w:iCs/>
                <w:sz w:val="18"/>
                <w:szCs w:val="18"/>
                <w:lang w:eastAsia="es-ES"/>
              </w:rPr>
            </w:pPr>
            <w:r w:rsidRPr="00543C57">
              <w:rPr>
                <w:rFonts w:ascii="Verdana" w:hAnsi="Verdana" w:cs="Arial"/>
                <w:i/>
                <w:iCs/>
                <w:sz w:val="18"/>
                <w:szCs w:val="18"/>
                <w:lang w:eastAsia="es-ES"/>
              </w:rPr>
              <w:t xml:space="preserve">(…) </w:t>
            </w:r>
          </w:p>
          <w:p w14:paraId="79F850F3" w14:textId="629E0E27" w:rsidR="00B50A4A" w:rsidRPr="00543C57" w:rsidRDefault="00543C57" w:rsidP="00543C57">
            <w:pPr>
              <w:shd w:val="clear" w:color="auto" w:fill="FFFFFF"/>
              <w:spacing w:before="100" w:beforeAutospacing="1" w:after="240"/>
              <w:jc w:val="both"/>
              <w:rPr>
                <w:rFonts w:ascii="Verdana" w:hAnsi="Verdana" w:cs="Arial"/>
                <w:i/>
                <w:iCs/>
                <w:sz w:val="18"/>
                <w:szCs w:val="18"/>
                <w:lang w:eastAsia="es-ES"/>
              </w:rPr>
            </w:pPr>
            <w:r w:rsidRPr="00543C57">
              <w:rPr>
                <w:rFonts w:ascii="Verdana" w:hAnsi="Verdana" w:cs="Arial"/>
                <w:i/>
                <w:iCs/>
                <w:sz w:val="18"/>
                <w:szCs w:val="18"/>
                <w:lang w:eastAsia="es-ES"/>
              </w:rPr>
              <w:t>12. Las demás funciones que le sean asignadas y que correspondan a la naturaleza de la dependencia.”</w:t>
            </w:r>
          </w:p>
          <w:p w14:paraId="3FE49281" w14:textId="28811F2A" w:rsidR="00F24B25" w:rsidRPr="00543C57" w:rsidRDefault="00B50A4A" w:rsidP="006C0824">
            <w:pPr>
              <w:spacing w:after="240" w:line="276" w:lineRule="auto"/>
              <w:jc w:val="both"/>
              <w:rPr>
                <w:rFonts w:ascii="Verdana" w:hAnsi="Verdana" w:cs="Arial"/>
                <w:sz w:val="22"/>
                <w:szCs w:val="22"/>
                <w:lang w:eastAsia="es-ES"/>
              </w:rPr>
            </w:pPr>
            <w:r w:rsidRPr="00543C57">
              <w:rPr>
                <w:rFonts w:ascii="Verdana" w:hAnsi="Verdana" w:cs="Arial"/>
                <w:sz w:val="22"/>
                <w:szCs w:val="22"/>
                <w:lang w:eastAsia="es-ES"/>
              </w:rPr>
              <w:t>Lo anterior,</w:t>
            </w:r>
            <w:r w:rsidR="00F24B25" w:rsidRPr="00543C57">
              <w:rPr>
                <w:rFonts w:ascii="Verdana" w:hAnsi="Verdana" w:cs="Arial"/>
                <w:sz w:val="22"/>
                <w:szCs w:val="22"/>
                <w:lang w:eastAsia="es-ES"/>
              </w:rPr>
              <w:t xml:space="preserve"> con </w:t>
            </w:r>
            <w:r w:rsidRPr="00543C57">
              <w:rPr>
                <w:rFonts w:ascii="Verdana" w:hAnsi="Verdana" w:cs="Arial"/>
                <w:sz w:val="22"/>
                <w:szCs w:val="22"/>
                <w:lang w:eastAsia="es-ES"/>
              </w:rPr>
              <w:t xml:space="preserve">el </w:t>
            </w:r>
            <w:r w:rsidR="00F24B25" w:rsidRPr="00543C57">
              <w:rPr>
                <w:rFonts w:ascii="Verdana" w:hAnsi="Verdana" w:cs="Arial"/>
                <w:sz w:val="22"/>
                <w:szCs w:val="22"/>
                <w:lang w:eastAsia="es-ES"/>
              </w:rPr>
              <w:t xml:space="preserve">apoyo de la </w:t>
            </w:r>
            <w:r w:rsidR="00F24B25" w:rsidRPr="00543C57">
              <w:rPr>
                <w:rFonts w:ascii="Verdana" w:hAnsi="Verdana" w:cs="Arial"/>
                <w:b/>
                <w:bCs/>
                <w:sz w:val="22"/>
                <w:szCs w:val="22"/>
                <w:lang w:eastAsia="es-ES"/>
              </w:rPr>
              <w:t xml:space="preserve">Dirección de Cambio Climático y Gestión del Riesgo </w:t>
            </w:r>
            <w:r w:rsidR="00602556" w:rsidRPr="00543C57">
              <w:rPr>
                <w:rFonts w:ascii="Verdana" w:hAnsi="Verdana" w:cs="Arial"/>
                <w:b/>
                <w:bCs/>
                <w:sz w:val="22"/>
                <w:szCs w:val="22"/>
                <w:lang w:eastAsia="es-ES"/>
              </w:rPr>
              <w:t>del Ministerio de Ambiente y Desarrollo Sostenible</w:t>
            </w:r>
            <w:r w:rsidR="00602556" w:rsidRPr="00543C57">
              <w:rPr>
                <w:rFonts w:ascii="Verdana" w:hAnsi="Verdana" w:cs="Arial"/>
                <w:sz w:val="22"/>
                <w:szCs w:val="22"/>
                <w:lang w:eastAsia="es-ES"/>
              </w:rPr>
              <w:t xml:space="preserve"> </w:t>
            </w:r>
            <w:r w:rsidR="00F24B25" w:rsidRPr="00543C57">
              <w:rPr>
                <w:rFonts w:ascii="Verdana" w:hAnsi="Verdana" w:cs="Arial"/>
                <w:sz w:val="22"/>
                <w:szCs w:val="22"/>
                <w:lang w:eastAsia="es-ES"/>
              </w:rPr>
              <w:t>como dependencia</w:t>
            </w:r>
            <w:r w:rsidRPr="00543C57">
              <w:rPr>
                <w:rFonts w:ascii="Verdana" w:hAnsi="Verdana" w:cs="Arial"/>
                <w:sz w:val="22"/>
                <w:szCs w:val="22"/>
                <w:lang w:eastAsia="es-ES"/>
              </w:rPr>
              <w:t xml:space="preserve"> técnica</w:t>
            </w:r>
            <w:r w:rsidR="00F24B25" w:rsidRPr="00543C57">
              <w:rPr>
                <w:rFonts w:ascii="Verdana" w:hAnsi="Verdana" w:cs="Arial"/>
                <w:sz w:val="22"/>
                <w:szCs w:val="22"/>
                <w:lang w:eastAsia="es-ES"/>
              </w:rPr>
              <w:t xml:space="preserve"> líder de las negociaciones</w:t>
            </w:r>
            <w:r w:rsidR="0036070D" w:rsidRPr="00543C57">
              <w:rPr>
                <w:rFonts w:ascii="Verdana" w:hAnsi="Verdana" w:cs="Arial"/>
                <w:sz w:val="22"/>
                <w:szCs w:val="22"/>
                <w:lang w:eastAsia="es-ES"/>
              </w:rPr>
              <w:t xml:space="preserve"> del contrato</w:t>
            </w:r>
            <w:r w:rsidR="00602556" w:rsidRPr="00543C57">
              <w:rPr>
                <w:rFonts w:ascii="Verdana" w:hAnsi="Verdana" w:cs="Arial"/>
                <w:sz w:val="22"/>
                <w:szCs w:val="22"/>
                <w:lang w:eastAsia="es-ES"/>
              </w:rPr>
              <w:t>.</w:t>
            </w:r>
          </w:p>
          <w:p w14:paraId="5398AD98" w14:textId="0B054ABC" w:rsidR="00602556" w:rsidRPr="00543C57" w:rsidRDefault="00602556" w:rsidP="006C0824">
            <w:pPr>
              <w:spacing w:after="240" w:line="276" w:lineRule="auto"/>
              <w:jc w:val="both"/>
              <w:rPr>
                <w:rFonts w:ascii="Verdana" w:hAnsi="Verdana" w:cs="Arial"/>
                <w:sz w:val="22"/>
                <w:szCs w:val="22"/>
                <w:lang w:eastAsia="es-ES"/>
              </w:rPr>
            </w:pPr>
            <w:r w:rsidRPr="00543C57">
              <w:rPr>
                <w:rFonts w:ascii="Verdana" w:hAnsi="Verdana" w:cs="Arial"/>
                <w:sz w:val="22"/>
                <w:szCs w:val="22"/>
                <w:lang w:eastAsia="es-ES"/>
              </w:rPr>
              <w:t>Se aclara que en esta cláusula la Directiva Presidencial no impone en cabeza de la Oficina Asesora Jurídica de la entidad la responsabilidad de realizar dicha justificación dentro de los antecedentes contractuales, por lo tanto, debe</w:t>
            </w:r>
            <w:r w:rsidR="00543C57" w:rsidRPr="00543C57">
              <w:rPr>
                <w:rFonts w:ascii="Verdana" w:hAnsi="Verdana" w:cs="Arial"/>
                <w:sz w:val="22"/>
                <w:szCs w:val="22"/>
                <w:lang w:eastAsia="es-ES"/>
              </w:rPr>
              <w:t>n</w:t>
            </w:r>
            <w:r w:rsidRPr="00543C57">
              <w:rPr>
                <w:rFonts w:ascii="Verdana" w:hAnsi="Verdana" w:cs="Arial"/>
                <w:sz w:val="22"/>
                <w:szCs w:val="22"/>
                <w:lang w:eastAsia="es-ES"/>
              </w:rPr>
              <w:t xml:space="preserve"> ser la dependencia c</w:t>
            </w:r>
            <w:r w:rsidR="00543C57" w:rsidRPr="00543C57">
              <w:rPr>
                <w:rFonts w:ascii="Verdana" w:hAnsi="Verdana" w:cs="Arial"/>
                <w:sz w:val="22"/>
                <w:szCs w:val="22"/>
                <w:lang w:eastAsia="es-ES"/>
              </w:rPr>
              <w:t>ompetente en la suscripción del acuerdo internacional (OAI) y la dependencia c</w:t>
            </w:r>
            <w:r w:rsidRPr="00543C57">
              <w:rPr>
                <w:rFonts w:ascii="Verdana" w:hAnsi="Verdana" w:cs="Arial"/>
                <w:sz w:val="22"/>
                <w:szCs w:val="22"/>
                <w:lang w:eastAsia="es-ES"/>
              </w:rPr>
              <w:t xml:space="preserve">on mayor conocimiento </w:t>
            </w:r>
            <w:r w:rsidR="00543C57" w:rsidRPr="00543C57">
              <w:rPr>
                <w:rFonts w:ascii="Verdana" w:hAnsi="Verdana" w:cs="Arial"/>
                <w:sz w:val="22"/>
                <w:szCs w:val="22"/>
                <w:lang w:eastAsia="es-ES"/>
              </w:rPr>
              <w:t xml:space="preserve">técnico </w:t>
            </w:r>
            <w:r w:rsidRPr="00543C57">
              <w:rPr>
                <w:rFonts w:ascii="Verdana" w:hAnsi="Verdana" w:cs="Arial"/>
                <w:sz w:val="22"/>
                <w:szCs w:val="22"/>
                <w:lang w:eastAsia="es-ES"/>
              </w:rPr>
              <w:t xml:space="preserve">sobre el contrato a suscribir </w:t>
            </w:r>
            <w:r w:rsidR="00543C57" w:rsidRPr="00543C57">
              <w:rPr>
                <w:rFonts w:ascii="Verdana" w:hAnsi="Verdana" w:cs="Arial"/>
                <w:sz w:val="22"/>
                <w:szCs w:val="22"/>
                <w:lang w:eastAsia="es-ES"/>
              </w:rPr>
              <w:t xml:space="preserve">(DCCGR) </w:t>
            </w:r>
            <w:r w:rsidRPr="00543C57">
              <w:rPr>
                <w:rFonts w:ascii="Verdana" w:hAnsi="Verdana" w:cs="Arial"/>
                <w:sz w:val="22"/>
                <w:szCs w:val="22"/>
                <w:lang w:eastAsia="es-ES"/>
              </w:rPr>
              <w:t>la</w:t>
            </w:r>
            <w:r w:rsidR="00543C57" w:rsidRPr="00543C57">
              <w:rPr>
                <w:rFonts w:ascii="Verdana" w:hAnsi="Verdana" w:cs="Arial"/>
                <w:sz w:val="22"/>
                <w:szCs w:val="22"/>
                <w:lang w:eastAsia="es-ES"/>
              </w:rPr>
              <w:t>s</w:t>
            </w:r>
            <w:r w:rsidRPr="00543C57">
              <w:rPr>
                <w:rFonts w:ascii="Verdana" w:hAnsi="Verdana" w:cs="Arial"/>
                <w:sz w:val="22"/>
                <w:szCs w:val="22"/>
                <w:lang w:eastAsia="es-ES"/>
              </w:rPr>
              <w:t xml:space="preserve"> que deba</w:t>
            </w:r>
            <w:r w:rsidR="00543C57" w:rsidRPr="00543C57">
              <w:rPr>
                <w:rFonts w:ascii="Verdana" w:hAnsi="Verdana" w:cs="Arial"/>
                <w:sz w:val="22"/>
                <w:szCs w:val="22"/>
                <w:lang w:eastAsia="es-ES"/>
              </w:rPr>
              <w:t>n realizar la justificación exigida por la Directiva.</w:t>
            </w:r>
          </w:p>
        </w:tc>
      </w:tr>
      <w:tr w:rsidR="00F24B25" w14:paraId="2BC1716F" w14:textId="77777777" w:rsidTr="00543C57">
        <w:tc>
          <w:tcPr>
            <w:tcW w:w="2263" w:type="dxa"/>
          </w:tcPr>
          <w:p w14:paraId="2E4025F8" w14:textId="528D2085" w:rsidR="00F24B25" w:rsidRPr="00543C57" w:rsidRDefault="00543C57" w:rsidP="006C0824">
            <w:pPr>
              <w:spacing w:after="240" w:line="276" w:lineRule="auto"/>
              <w:jc w:val="both"/>
              <w:rPr>
                <w:rFonts w:ascii="Verdana" w:hAnsi="Verdana" w:cs="Arial"/>
                <w:lang w:eastAsia="es-ES"/>
              </w:rPr>
            </w:pPr>
            <w:r w:rsidRPr="00543C57">
              <w:rPr>
                <w:rFonts w:ascii="Verdana" w:hAnsi="Verdana" w:cs="Arial"/>
                <w:lang w:eastAsia="es-ES"/>
              </w:rPr>
              <w:lastRenderedPageBreak/>
              <w:t xml:space="preserve">“4. Contar con el </w:t>
            </w:r>
            <w:r w:rsidRPr="00543C57">
              <w:rPr>
                <w:rFonts w:ascii="Verdana" w:hAnsi="Verdana" w:cs="Arial"/>
                <w:b/>
                <w:bCs/>
                <w:lang w:eastAsia="es-ES"/>
              </w:rPr>
              <w:t>concepto previo del director(a) de la Agencia Nacional de Defensa Jurídica del Estado.”</w:t>
            </w:r>
          </w:p>
        </w:tc>
        <w:tc>
          <w:tcPr>
            <w:tcW w:w="6565" w:type="dxa"/>
          </w:tcPr>
          <w:p w14:paraId="6DFD5C0E" w14:textId="41378591" w:rsidR="00F24B25" w:rsidRDefault="00543C57" w:rsidP="006C0824">
            <w:pPr>
              <w:spacing w:after="240" w:line="276" w:lineRule="auto"/>
              <w:jc w:val="both"/>
              <w:rPr>
                <w:rFonts w:ascii="Verdana" w:hAnsi="Verdana" w:cs="Arial"/>
                <w:lang w:eastAsia="es-ES"/>
              </w:rPr>
            </w:pPr>
            <w:r>
              <w:rPr>
                <w:rFonts w:ascii="Verdana" w:hAnsi="Verdana" w:cs="Arial"/>
                <w:b/>
                <w:bCs/>
                <w:sz w:val="22"/>
                <w:szCs w:val="22"/>
                <w:lang w:eastAsia="es-ES"/>
              </w:rPr>
              <w:t xml:space="preserve">Agencia Nacional de Defensa Jurídica del Estado, </w:t>
            </w:r>
            <w:r>
              <w:rPr>
                <w:rFonts w:ascii="Verdana" w:hAnsi="Verdana" w:cs="Arial"/>
                <w:sz w:val="22"/>
                <w:szCs w:val="22"/>
                <w:lang w:eastAsia="es-ES"/>
              </w:rPr>
              <w:t xml:space="preserve">a solicitud de la Oficina de Asuntos Internacionales del Ministerio de Ambiente y Desarrollo Sostenible.  </w:t>
            </w:r>
          </w:p>
        </w:tc>
      </w:tr>
    </w:tbl>
    <w:p w14:paraId="4B15A116" w14:textId="391E058A" w:rsidR="006C0824" w:rsidRDefault="000B25A4" w:rsidP="000B25A4">
      <w:pPr>
        <w:spacing w:after="240" w:line="276" w:lineRule="auto"/>
        <w:jc w:val="center"/>
        <w:rPr>
          <w:rFonts w:ascii="Verdana" w:hAnsi="Verdana" w:cs="Arial"/>
          <w:b/>
          <w:bCs/>
          <w:i/>
          <w:iCs/>
          <w:sz w:val="20"/>
          <w:szCs w:val="20"/>
          <w:lang w:eastAsia="es-ES"/>
        </w:rPr>
      </w:pPr>
      <w:r w:rsidRPr="000B25A4">
        <w:rPr>
          <w:rFonts w:ascii="Verdana" w:hAnsi="Verdana" w:cs="Arial"/>
          <w:b/>
          <w:bCs/>
          <w:i/>
          <w:iCs/>
          <w:sz w:val="20"/>
          <w:szCs w:val="20"/>
          <w:lang w:eastAsia="es-ES"/>
        </w:rPr>
        <w:t>Tabla No. 2. Elaboración propia.</w:t>
      </w:r>
    </w:p>
    <w:p w14:paraId="73CA28EC" w14:textId="2FD17315" w:rsidR="00DF6019" w:rsidRDefault="00DF6019" w:rsidP="00DF6019">
      <w:pPr>
        <w:spacing w:after="240" w:line="276" w:lineRule="auto"/>
        <w:jc w:val="both"/>
        <w:rPr>
          <w:rFonts w:ascii="Verdana" w:hAnsi="Verdana" w:cs="Arial"/>
          <w:lang w:eastAsia="es-ES"/>
        </w:rPr>
      </w:pPr>
      <w:r>
        <w:rPr>
          <w:rFonts w:ascii="Verdana" w:hAnsi="Verdana" w:cs="Arial"/>
          <w:lang w:eastAsia="es-ES"/>
        </w:rPr>
        <w:t xml:space="preserve">Por consiguiente, la única gestión que esta Oficina Asesora Jurídica es responsable de gestionar es la primera. Sin embargo, dado que el concepto que allí se requiere debe evaluar la conveniencia económica de la cláusula compromisoria, ello requiere el </w:t>
      </w:r>
      <w:r w:rsidRPr="00DF6019">
        <w:rPr>
          <w:rFonts w:ascii="Verdana" w:hAnsi="Verdana" w:cs="Arial"/>
          <w:lang w:eastAsia="es-ES"/>
        </w:rPr>
        <w:t xml:space="preserve">apoyo de la </w:t>
      </w:r>
      <w:r w:rsidRPr="00DF6019">
        <w:rPr>
          <w:rFonts w:ascii="Verdana" w:hAnsi="Verdana" w:cs="Arial"/>
          <w:b/>
          <w:bCs/>
          <w:lang w:eastAsia="es-ES"/>
        </w:rPr>
        <w:t>Subdirección Administrativa y Financiera</w:t>
      </w:r>
      <w:r w:rsidRPr="00DF6019">
        <w:rPr>
          <w:rFonts w:ascii="Verdana" w:hAnsi="Verdana" w:cs="Arial"/>
          <w:lang w:eastAsia="es-ES"/>
        </w:rPr>
        <w:t xml:space="preserve"> </w:t>
      </w:r>
      <w:r>
        <w:rPr>
          <w:rFonts w:ascii="Verdana" w:hAnsi="Verdana" w:cs="Arial"/>
          <w:lang w:eastAsia="es-ES"/>
        </w:rPr>
        <w:t xml:space="preserve">(SAF) </w:t>
      </w:r>
      <w:r w:rsidRPr="00DF6019">
        <w:rPr>
          <w:rFonts w:ascii="Verdana" w:hAnsi="Verdana" w:cs="Arial"/>
          <w:lang w:eastAsia="es-ES"/>
        </w:rPr>
        <w:t>del Ministerio de Ambiente y Desarrollo Sostenible para conceptuar respecto de la conveniencia económica</w:t>
      </w:r>
      <w:r>
        <w:rPr>
          <w:rFonts w:ascii="Verdana" w:hAnsi="Verdana" w:cs="Arial"/>
          <w:lang w:eastAsia="es-ES"/>
        </w:rPr>
        <w:t xml:space="preserve"> de la cláusula compromisoria contenida en la Sección 17.03 de las Condiciones Generales del ERPA, </w:t>
      </w:r>
      <w:r w:rsidR="0081624E">
        <w:rPr>
          <w:rFonts w:ascii="Verdana" w:hAnsi="Verdana" w:cs="Arial"/>
          <w:lang w:eastAsia="es-ES"/>
        </w:rPr>
        <w:t xml:space="preserve">en la medida que </w:t>
      </w:r>
      <w:r>
        <w:rPr>
          <w:rFonts w:ascii="Verdana" w:hAnsi="Verdana" w:cs="Arial"/>
          <w:lang w:eastAsia="es-ES"/>
        </w:rPr>
        <w:t>esta Oficina no puede conceptuar sobre la conveniencia de dicha cláusula</w:t>
      </w:r>
      <w:r w:rsidR="0081624E">
        <w:rPr>
          <w:rFonts w:ascii="Verdana" w:hAnsi="Verdana" w:cs="Arial"/>
          <w:lang w:eastAsia="es-ES"/>
        </w:rPr>
        <w:t xml:space="preserve"> en esos aspectos</w:t>
      </w:r>
      <w:r w:rsidR="00DB768B">
        <w:rPr>
          <w:rFonts w:ascii="Verdana" w:hAnsi="Verdana" w:cs="Arial"/>
          <w:lang w:eastAsia="es-ES"/>
        </w:rPr>
        <w:t xml:space="preserve">, </w:t>
      </w:r>
      <w:r>
        <w:rPr>
          <w:rFonts w:ascii="Verdana" w:hAnsi="Verdana" w:cs="Arial"/>
          <w:lang w:eastAsia="es-ES"/>
        </w:rPr>
        <w:t xml:space="preserve">de conformidad con las funciones que el Decreto 3570 de 2011 fija para las diferentes dependencias que estarían involucradas en determinar la conveniencia jurídica y económica de la cláusula compromisoria y que </w:t>
      </w:r>
      <w:r w:rsidRPr="00490BA0">
        <w:rPr>
          <w:rFonts w:ascii="Verdana" w:hAnsi="Verdana" w:cs="Arial"/>
          <w:b/>
          <w:bCs/>
          <w:u w:val="single"/>
          <w:lang w:eastAsia="es-ES"/>
        </w:rPr>
        <w:t xml:space="preserve">la Oficina Asesora Jurídica no se encuentra facultada para emitir conceptos </w:t>
      </w:r>
      <w:r w:rsidR="00AB779E">
        <w:rPr>
          <w:rFonts w:ascii="Verdana" w:hAnsi="Verdana" w:cs="Arial"/>
          <w:b/>
          <w:bCs/>
          <w:u w:val="single"/>
          <w:lang w:eastAsia="es-ES"/>
        </w:rPr>
        <w:t xml:space="preserve">financieros o de otra naturaleza </w:t>
      </w:r>
      <w:r w:rsidRPr="00490BA0">
        <w:rPr>
          <w:rFonts w:ascii="Verdana" w:hAnsi="Verdana" w:cs="Arial"/>
          <w:b/>
          <w:bCs/>
          <w:u w:val="single"/>
          <w:lang w:eastAsia="es-ES"/>
        </w:rPr>
        <w:t>que no sean jurídicos</w:t>
      </w:r>
      <w:r>
        <w:rPr>
          <w:rFonts w:ascii="Verdana" w:hAnsi="Verdana" w:cs="Arial"/>
          <w:lang w:eastAsia="es-ES"/>
        </w:rPr>
        <w:t xml:space="preserve">, </w:t>
      </w:r>
      <w:r w:rsidR="00AB779E">
        <w:rPr>
          <w:rFonts w:ascii="Verdana" w:hAnsi="Verdana" w:cs="Arial"/>
          <w:lang w:eastAsia="es-ES"/>
        </w:rPr>
        <w:t xml:space="preserve">de acuerdo con </w:t>
      </w:r>
      <w:r>
        <w:rPr>
          <w:rFonts w:ascii="Verdana" w:hAnsi="Verdana" w:cs="Arial"/>
          <w:lang w:eastAsia="es-ES"/>
        </w:rPr>
        <w:t xml:space="preserve">el artículo </w:t>
      </w:r>
      <w:r w:rsidR="008121FF">
        <w:rPr>
          <w:rFonts w:ascii="Verdana" w:hAnsi="Verdana" w:cs="Arial"/>
          <w:lang w:eastAsia="es-ES"/>
        </w:rPr>
        <w:t>11</w:t>
      </w:r>
      <w:r>
        <w:rPr>
          <w:rFonts w:ascii="Verdana" w:hAnsi="Verdana" w:cs="Arial"/>
          <w:lang w:eastAsia="es-ES"/>
        </w:rPr>
        <w:t xml:space="preserve"> del Decreto </w:t>
      </w:r>
      <w:r w:rsidRPr="00DF6019">
        <w:rPr>
          <w:rFonts w:ascii="Verdana" w:hAnsi="Verdana" w:cs="Arial"/>
          <w:i/>
          <w:iCs/>
          <w:lang w:eastAsia="es-ES"/>
        </w:rPr>
        <w:t>ibidem</w:t>
      </w:r>
      <w:r>
        <w:rPr>
          <w:rFonts w:ascii="Verdana" w:hAnsi="Verdana" w:cs="Arial"/>
          <w:lang w:eastAsia="es-ES"/>
        </w:rPr>
        <w:t>:</w:t>
      </w:r>
    </w:p>
    <w:p w14:paraId="709994AD" w14:textId="4694AAA1" w:rsidR="008121FF" w:rsidRPr="009515C9" w:rsidRDefault="004D7A96" w:rsidP="004D7A96">
      <w:pPr>
        <w:spacing w:after="240" w:line="276" w:lineRule="auto"/>
        <w:ind w:left="708"/>
        <w:jc w:val="both"/>
        <w:rPr>
          <w:rFonts w:ascii="Verdana" w:hAnsi="Verdana" w:cs="Arial"/>
          <w:i/>
          <w:iCs/>
          <w:sz w:val="22"/>
          <w:szCs w:val="22"/>
          <w:lang w:eastAsia="es-ES"/>
        </w:rPr>
      </w:pPr>
      <w:r w:rsidRPr="009515C9">
        <w:rPr>
          <w:rFonts w:ascii="Verdana" w:hAnsi="Verdana" w:cs="Arial"/>
          <w:b/>
          <w:bCs/>
          <w:i/>
          <w:iCs/>
          <w:sz w:val="22"/>
          <w:szCs w:val="22"/>
          <w:lang w:eastAsia="es-ES"/>
        </w:rPr>
        <w:t>“</w:t>
      </w:r>
      <w:r w:rsidR="008121FF" w:rsidRPr="009515C9">
        <w:rPr>
          <w:rFonts w:ascii="Verdana" w:hAnsi="Verdana" w:cs="Arial"/>
          <w:b/>
          <w:bCs/>
          <w:i/>
          <w:iCs/>
          <w:sz w:val="22"/>
          <w:szCs w:val="22"/>
          <w:lang w:eastAsia="es-ES"/>
        </w:rPr>
        <w:t>ARTÍCULO 11. Funciones de la Oficina Asesora Jurídica.</w:t>
      </w:r>
      <w:r w:rsidR="008121FF" w:rsidRPr="009515C9">
        <w:rPr>
          <w:rFonts w:ascii="Verdana" w:hAnsi="Verdana" w:cs="Arial"/>
          <w:i/>
          <w:iCs/>
          <w:sz w:val="22"/>
          <w:szCs w:val="22"/>
          <w:lang w:eastAsia="es-ES"/>
        </w:rPr>
        <w:t> Son funciones de la Oficina Asesora Jurídica, las siguientes:</w:t>
      </w:r>
    </w:p>
    <w:p w14:paraId="4EE9ADFA" w14:textId="1138C858" w:rsidR="008121FF" w:rsidRPr="009515C9" w:rsidRDefault="004D7A96" w:rsidP="00DB768B">
      <w:pPr>
        <w:spacing w:after="240" w:line="276" w:lineRule="auto"/>
        <w:ind w:left="708"/>
        <w:jc w:val="both"/>
        <w:rPr>
          <w:rFonts w:ascii="Verdana" w:hAnsi="Verdana" w:cs="Arial"/>
          <w:i/>
          <w:iCs/>
          <w:sz w:val="22"/>
          <w:szCs w:val="22"/>
          <w:lang w:eastAsia="es-ES"/>
        </w:rPr>
      </w:pPr>
      <w:r w:rsidRPr="009515C9">
        <w:rPr>
          <w:rFonts w:ascii="Verdana" w:hAnsi="Verdana" w:cs="Arial"/>
          <w:i/>
          <w:iCs/>
          <w:sz w:val="22"/>
          <w:szCs w:val="22"/>
          <w:lang w:eastAsia="es-ES"/>
        </w:rPr>
        <w:t>(…)</w:t>
      </w:r>
      <w:r w:rsidR="008121FF" w:rsidRPr="009515C9">
        <w:rPr>
          <w:rFonts w:ascii="Verdana" w:hAnsi="Verdana" w:cs="Arial"/>
          <w:i/>
          <w:iCs/>
          <w:sz w:val="22"/>
          <w:szCs w:val="22"/>
          <w:lang w:eastAsia="es-ES"/>
        </w:rPr>
        <w:t> </w:t>
      </w:r>
    </w:p>
    <w:p w14:paraId="152FB2E1" w14:textId="77777777" w:rsidR="008121FF" w:rsidRPr="009515C9" w:rsidRDefault="008121FF" w:rsidP="004D7A96">
      <w:pPr>
        <w:spacing w:after="240" w:line="276" w:lineRule="auto"/>
        <w:ind w:left="708"/>
        <w:jc w:val="both"/>
        <w:rPr>
          <w:rFonts w:ascii="Verdana" w:hAnsi="Verdana" w:cs="Arial"/>
          <w:i/>
          <w:iCs/>
          <w:sz w:val="22"/>
          <w:szCs w:val="22"/>
          <w:lang w:eastAsia="es-ES"/>
        </w:rPr>
      </w:pPr>
      <w:r w:rsidRPr="009515C9">
        <w:rPr>
          <w:rFonts w:ascii="Verdana" w:hAnsi="Verdana" w:cs="Arial"/>
          <w:i/>
          <w:iCs/>
          <w:sz w:val="22"/>
          <w:szCs w:val="22"/>
          <w:lang w:eastAsia="es-ES"/>
        </w:rPr>
        <w:t xml:space="preserve">3. Elaborar, estudiar y </w:t>
      </w:r>
      <w:r w:rsidRPr="009515C9">
        <w:rPr>
          <w:rFonts w:ascii="Verdana" w:hAnsi="Verdana" w:cs="Arial"/>
          <w:b/>
          <w:bCs/>
          <w:i/>
          <w:iCs/>
          <w:sz w:val="22"/>
          <w:szCs w:val="22"/>
          <w:lang w:eastAsia="es-ES"/>
        </w:rPr>
        <w:t>conceptuar sobre</w:t>
      </w:r>
      <w:r w:rsidRPr="009515C9">
        <w:rPr>
          <w:rFonts w:ascii="Verdana" w:hAnsi="Verdana" w:cs="Arial"/>
          <w:i/>
          <w:iCs/>
          <w:sz w:val="22"/>
          <w:szCs w:val="22"/>
          <w:lang w:eastAsia="es-ES"/>
        </w:rPr>
        <w:t xml:space="preserve"> proyectos de actos administrativos y/o </w:t>
      </w:r>
      <w:r w:rsidRPr="009515C9">
        <w:rPr>
          <w:rFonts w:ascii="Verdana" w:hAnsi="Verdana" w:cs="Arial"/>
          <w:b/>
          <w:bCs/>
          <w:i/>
          <w:iCs/>
          <w:sz w:val="22"/>
          <w:szCs w:val="22"/>
          <w:lang w:eastAsia="es-ES"/>
        </w:rPr>
        <w:t>convenios que deba suscribir o proponer la entidad</w:t>
      </w:r>
      <w:r w:rsidRPr="009515C9">
        <w:rPr>
          <w:rFonts w:ascii="Verdana" w:hAnsi="Verdana" w:cs="Arial"/>
          <w:i/>
          <w:iCs/>
          <w:sz w:val="22"/>
          <w:szCs w:val="22"/>
          <w:lang w:eastAsia="es-ES"/>
        </w:rPr>
        <w:t xml:space="preserve">, y sobre los demás asuntos que le asignen, en relación con la naturaleza del Ministerio, </w:t>
      </w:r>
      <w:r w:rsidRPr="009515C9">
        <w:rPr>
          <w:rFonts w:ascii="Verdana" w:hAnsi="Verdana" w:cs="Arial"/>
          <w:b/>
          <w:bCs/>
          <w:i/>
          <w:iCs/>
          <w:sz w:val="22"/>
          <w:szCs w:val="22"/>
          <w:lang w:eastAsia="es-ES"/>
        </w:rPr>
        <w:t>en lo de su competencia</w:t>
      </w:r>
      <w:r w:rsidRPr="009515C9">
        <w:rPr>
          <w:rFonts w:ascii="Verdana" w:hAnsi="Verdana" w:cs="Arial"/>
          <w:i/>
          <w:iCs/>
          <w:sz w:val="22"/>
          <w:szCs w:val="22"/>
          <w:lang w:eastAsia="es-ES"/>
        </w:rPr>
        <w:t>.</w:t>
      </w:r>
    </w:p>
    <w:p w14:paraId="310AFEFE" w14:textId="0AEC902C" w:rsidR="008121FF" w:rsidRPr="009515C9" w:rsidRDefault="004D7A96" w:rsidP="004D7A96">
      <w:pPr>
        <w:spacing w:after="240" w:line="276" w:lineRule="auto"/>
        <w:ind w:left="708"/>
        <w:jc w:val="both"/>
        <w:rPr>
          <w:rFonts w:ascii="Verdana" w:hAnsi="Verdana" w:cs="Arial"/>
          <w:i/>
          <w:iCs/>
          <w:sz w:val="22"/>
          <w:szCs w:val="22"/>
          <w:lang w:eastAsia="es-ES"/>
        </w:rPr>
      </w:pPr>
      <w:r w:rsidRPr="009515C9">
        <w:rPr>
          <w:rFonts w:ascii="Verdana" w:hAnsi="Verdana" w:cs="Arial"/>
          <w:i/>
          <w:iCs/>
          <w:sz w:val="22"/>
          <w:szCs w:val="22"/>
          <w:lang w:eastAsia="es-ES"/>
        </w:rPr>
        <w:lastRenderedPageBreak/>
        <w:t>(…)</w:t>
      </w:r>
    </w:p>
    <w:p w14:paraId="4D3A9044" w14:textId="2677FF4F" w:rsidR="008121FF" w:rsidRPr="009515C9" w:rsidRDefault="008121FF" w:rsidP="004D7A96">
      <w:pPr>
        <w:spacing w:after="240" w:line="276" w:lineRule="auto"/>
        <w:ind w:left="708"/>
        <w:jc w:val="both"/>
        <w:rPr>
          <w:rFonts w:ascii="Verdana" w:hAnsi="Verdana" w:cs="Arial"/>
          <w:i/>
          <w:iCs/>
          <w:sz w:val="22"/>
          <w:szCs w:val="22"/>
          <w:lang w:eastAsia="es-ES"/>
        </w:rPr>
      </w:pPr>
      <w:r w:rsidRPr="009515C9">
        <w:rPr>
          <w:rFonts w:ascii="Verdana" w:hAnsi="Verdana" w:cs="Arial"/>
          <w:i/>
          <w:iCs/>
          <w:sz w:val="22"/>
          <w:szCs w:val="22"/>
          <w:lang w:eastAsia="es-ES"/>
        </w:rPr>
        <w:t xml:space="preserve">6. </w:t>
      </w:r>
      <w:r w:rsidRPr="009515C9">
        <w:rPr>
          <w:rFonts w:ascii="Verdana" w:hAnsi="Verdana" w:cs="Arial"/>
          <w:b/>
          <w:bCs/>
          <w:i/>
          <w:iCs/>
          <w:sz w:val="22"/>
          <w:szCs w:val="22"/>
          <w:lang w:eastAsia="es-ES"/>
        </w:rPr>
        <w:t xml:space="preserve">Emitir conceptos </w:t>
      </w:r>
      <w:r w:rsidRPr="009515C9">
        <w:rPr>
          <w:rFonts w:ascii="Verdana" w:hAnsi="Verdana" w:cs="Arial"/>
          <w:b/>
          <w:bCs/>
          <w:i/>
          <w:iCs/>
          <w:sz w:val="22"/>
          <w:szCs w:val="22"/>
          <w:u w:val="single"/>
          <w:lang w:eastAsia="es-ES"/>
        </w:rPr>
        <w:t>jurídicos</w:t>
      </w:r>
      <w:r w:rsidRPr="009515C9">
        <w:rPr>
          <w:rFonts w:ascii="Verdana" w:hAnsi="Verdana" w:cs="Arial"/>
          <w:b/>
          <w:bCs/>
          <w:i/>
          <w:iCs/>
          <w:sz w:val="22"/>
          <w:szCs w:val="22"/>
          <w:lang w:eastAsia="es-ES"/>
        </w:rPr>
        <w:t xml:space="preserve"> para la negociación y aplicación de tratados, convenios, protocolos y demás instrumentos internacionales</w:t>
      </w:r>
      <w:r w:rsidRPr="009515C9">
        <w:rPr>
          <w:rFonts w:ascii="Verdana" w:hAnsi="Verdana" w:cs="Arial"/>
          <w:i/>
          <w:iCs/>
          <w:sz w:val="22"/>
          <w:szCs w:val="22"/>
          <w:lang w:eastAsia="es-ES"/>
        </w:rPr>
        <w:t>.</w:t>
      </w:r>
    </w:p>
    <w:p w14:paraId="243EA5A9" w14:textId="2F40A72A" w:rsidR="004D7A96" w:rsidRPr="009515C9" w:rsidRDefault="004D7A96" w:rsidP="004D7A96">
      <w:pPr>
        <w:spacing w:after="240" w:line="276" w:lineRule="auto"/>
        <w:ind w:left="708"/>
        <w:jc w:val="both"/>
        <w:rPr>
          <w:rFonts w:ascii="Verdana" w:hAnsi="Verdana" w:cs="Arial"/>
          <w:i/>
          <w:iCs/>
          <w:sz w:val="22"/>
          <w:szCs w:val="22"/>
          <w:lang w:eastAsia="es-ES"/>
        </w:rPr>
      </w:pPr>
      <w:r w:rsidRPr="009515C9">
        <w:rPr>
          <w:rFonts w:ascii="Verdana" w:hAnsi="Verdana" w:cs="Arial"/>
          <w:i/>
          <w:iCs/>
          <w:sz w:val="22"/>
          <w:szCs w:val="22"/>
          <w:lang w:eastAsia="es-ES"/>
        </w:rPr>
        <w:t>(…)”</w:t>
      </w:r>
    </w:p>
    <w:p w14:paraId="28552C02" w14:textId="25BC44C6" w:rsidR="00B6750F" w:rsidRPr="00B6750F" w:rsidRDefault="00B6750F" w:rsidP="00B6750F">
      <w:pPr>
        <w:spacing w:after="240" w:line="276" w:lineRule="auto"/>
        <w:jc w:val="both"/>
        <w:rPr>
          <w:rFonts w:ascii="Verdana" w:hAnsi="Verdana" w:cs="Arial"/>
          <w:lang w:eastAsia="es-ES"/>
        </w:rPr>
      </w:pPr>
      <w:r w:rsidRPr="00B6750F">
        <w:rPr>
          <w:rFonts w:ascii="Verdana" w:hAnsi="Verdana" w:cs="Arial"/>
          <w:lang w:eastAsia="es-ES"/>
        </w:rPr>
        <w:t xml:space="preserve">Recuérdese que el ejercicio de la actividad de la Administración se construye bajo el principio de la legalidad de los actos públicos. Tal principio consiste en que "los servidores públicos solo pueden realizar los actos previstos por la Constitución, las leyes o los reglamentos, y no pueden bajo ningún pretexto, improvisar funciones ajenas a su competencia", como lo expresó la Corte Constitucional en sentencia C- 337/93 del 19 de agosto de 1993, expediente D296, M.P. Vladimiro Naranjo Mesa.  </w:t>
      </w:r>
    </w:p>
    <w:p w14:paraId="1BDFA5C2" w14:textId="66860D49" w:rsidR="00B6750F" w:rsidRDefault="00B6750F" w:rsidP="00B6750F">
      <w:pPr>
        <w:spacing w:after="240" w:line="276" w:lineRule="auto"/>
        <w:jc w:val="both"/>
        <w:rPr>
          <w:rFonts w:ascii="Verdana" w:hAnsi="Verdana" w:cs="Arial"/>
          <w:lang w:eastAsia="es-ES"/>
        </w:rPr>
      </w:pPr>
      <w:r w:rsidRPr="00B6750F">
        <w:rPr>
          <w:rFonts w:ascii="Verdana" w:hAnsi="Verdana" w:cs="Arial"/>
          <w:lang w:eastAsia="es-ES"/>
        </w:rPr>
        <w:t>De lo anterior se concluye que la Administración solo puede actuar y por ende asumir compromisos en orden a lo estrictamente facultado por la Ley, por lo tanto, no podría ni debe asumir responsabilidades ajenas a sus competencias.</w:t>
      </w:r>
    </w:p>
    <w:p w14:paraId="5C13F739" w14:textId="7203414D" w:rsidR="00B801DB" w:rsidRDefault="00B801DB" w:rsidP="00B6750F">
      <w:pPr>
        <w:spacing w:after="240" w:line="276" w:lineRule="auto"/>
        <w:jc w:val="both"/>
        <w:rPr>
          <w:rFonts w:ascii="Verdana" w:hAnsi="Verdana" w:cs="Arial"/>
          <w:lang w:eastAsia="es-ES"/>
        </w:rPr>
      </w:pPr>
      <w:r>
        <w:rPr>
          <w:rFonts w:ascii="Verdana" w:hAnsi="Verdana" w:cs="Arial"/>
          <w:lang w:eastAsia="es-ES"/>
        </w:rPr>
        <w:t>En ese sentido, el concepto jurídico que puede emitir la Oficina Asesora Jurídica, de acuerdo con el marco legal que le fija sus competencias y dada la naturaleza de sus funciones, versa únicamente sobre aspectos jurídicos, es decir, los aspectos técnicos y financieros deben ser analizados por las dependencias que tengan a su cargo dichos componentes y aportar desde su experticia a la Oficina Asesora Jurídica en lo que corresponda al análisis de aspectos no jurídicos.</w:t>
      </w:r>
    </w:p>
    <w:p w14:paraId="7657505B" w14:textId="4DEA2C2B" w:rsidR="00DB768B" w:rsidRDefault="00B801DB" w:rsidP="00B6750F">
      <w:pPr>
        <w:spacing w:after="240" w:line="276" w:lineRule="auto"/>
        <w:jc w:val="both"/>
        <w:rPr>
          <w:rFonts w:ascii="Verdana" w:hAnsi="Verdana" w:cs="Arial"/>
          <w:lang w:eastAsia="es-ES"/>
        </w:rPr>
      </w:pPr>
      <w:r>
        <w:rPr>
          <w:rFonts w:ascii="Verdana" w:hAnsi="Verdana" w:cs="Arial"/>
          <w:lang w:eastAsia="es-ES"/>
        </w:rPr>
        <w:t>Lo anterior se refuerza además en que</w:t>
      </w:r>
      <w:r w:rsidR="00DB768B">
        <w:rPr>
          <w:rFonts w:ascii="Verdana" w:hAnsi="Verdana" w:cs="Arial"/>
          <w:lang w:eastAsia="es-ES"/>
        </w:rPr>
        <w:t xml:space="preserve"> la Circular Externa No. 16 de la Agencia Nacional de Defensa Jurídica del Estado consagra que respecto del aspecto</w:t>
      </w:r>
      <w:r w:rsidR="00DB768B" w:rsidRPr="00DB768B">
        <w:rPr>
          <w:rFonts w:ascii="Verdana" w:hAnsi="Verdana" w:cs="Arial"/>
          <w:lang w:eastAsia="es-ES"/>
        </w:rPr>
        <w:t xml:space="preserve"> económico</w:t>
      </w:r>
      <w:r w:rsidR="00DB768B">
        <w:rPr>
          <w:rFonts w:ascii="Verdana" w:hAnsi="Verdana" w:cs="Arial"/>
          <w:lang w:eastAsia="es-ES"/>
        </w:rPr>
        <w:t xml:space="preserve"> de la cláusula compromisoria es </w:t>
      </w:r>
      <w:r w:rsidR="006B745C">
        <w:rPr>
          <w:rFonts w:ascii="Verdana" w:hAnsi="Verdana" w:cs="Arial"/>
          <w:lang w:eastAsia="es-ES"/>
        </w:rPr>
        <w:t xml:space="preserve">oportuno </w:t>
      </w:r>
      <w:r w:rsidR="00DB768B">
        <w:rPr>
          <w:rFonts w:ascii="Verdana" w:hAnsi="Verdana" w:cs="Arial"/>
          <w:lang w:eastAsia="es-ES"/>
        </w:rPr>
        <w:t xml:space="preserve">que la Jefatura </w:t>
      </w:r>
      <w:r w:rsidR="00DB768B" w:rsidRPr="00DB768B">
        <w:rPr>
          <w:rFonts w:ascii="Verdana" w:hAnsi="Verdana" w:cs="Arial"/>
          <w:lang w:eastAsia="es-ES"/>
        </w:rPr>
        <w:t xml:space="preserve">de la Oficina Jurídica </w:t>
      </w:r>
      <w:r w:rsidR="00DB768B">
        <w:rPr>
          <w:rFonts w:ascii="Verdana" w:hAnsi="Verdana" w:cs="Arial"/>
          <w:lang w:eastAsia="es-ES"/>
        </w:rPr>
        <w:t>se apoye</w:t>
      </w:r>
      <w:r w:rsidR="00DB768B" w:rsidRPr="00DB768B">
        <w:rPr>
          <w:rFonts w:ascii="Verdana" w:hAnsi="Verdana" w:cs="Arial"/>
          <w:lang w:eastAsia="es-ES"/>
        </w:rPr>
        <w:t xml:space="preserve"> </w:t>
      </w:r>
      <w:r w:rsidR="00DB768B" w:rsidRPr="00A44C00">
        <w:rPr>
          <w:rFonts w:ascii="Verdana" w:hAnsi="Verdana" w:cs="Arial"/>
          <w:i/>
          <w:iCs/>
          <w:lang w:eastAsia="es-ES"/>
        </w:rPr>
        <w:t xml:space="preserve">“en el análisis económico que realice el área de contratación y/o el área financiera de la entidad, sobre la conveniencia económica de someter cualquier conflicto que se presente en desarrollo del contrato a un tribunal arbitral, incluyendo costos de los árbitros y de la representación judicial ante éste, frente al cálculo del </w:t>
      </w:r>
      <w:r w:rsidR="00DB768B" w:rsidRPr="00A44C00">
        <w:rPr>
          <w:rFonts w:ascii="Verdana" w:hAnsi="Verdana" w:cs="Arial"/>
          <w:i/>
          <w:iCs/>
          <w:lang w:eastAsia="es-ES"/>
        </w:rPr>
        <w:lastRenderedPageBreak/>
        <w:t>costo económico de asumir el litigio ante jueces nacionales. En lo que respecta al arbitraje internacional, las entidades deberán analizar los costos del centro de arbitraje pactado en la cláusula, con base en el numeral primero del título primero de la Circular 05 de 2025.</w:t>
      </w:r>
      <w:r w:rsidR="00A44C00" w:rsidRPr="00A44C00">
        <w:rPr>
          <w:rFonts w:ascii="Verdana" w:hAnsi="Verdana" w:cs="Arial"/>
          <w:i/>
          <w:iCs/>
          <w:lang w:eastAsia="es-ES"/>
        </w:rPr>
        <w:t>”</w:t>
      </w:r>
    </w:p>
    <w:p w14:paraId="166F8CB5" w14:textId="6FC67213" w:rsidR="00B801DB" w:rsidRDefault="00B801DB" w:rsidP="00DF6019">
      <w:pPr>
        <w:spacing w:after="240" w:line="276" w:lineRule="auto"/>
        <w:jc w:val="both"/>
        <w:rPr>
          <w:rFonts w:ascii="Verdana" w:hAnsi="Verdana" w:cs="Arial"/>
          <w:lang w:eastAsia="es-ES"/>
        </w:rPr>
      </w:pPr>
      <w:r w:rsidRPr="72B58CFD">
        <w:rPr>
          <w:rFonts w:ascii="Verdana" w:hAnsi="Verdana" w:cs="Arial"/>
          <w:lang w:eastAsia="es-ES"/>
        </w:rPr>
        <w:t>Con base en lo precedente</w:t>
      </w:r>
      <w:r w:rsidR="00AB779E" w:rsidRPr="72B58CFD">
        <w:rPr>
          <w:rFonts w:ascii="Verdana" w:hAnsi="Verdana" w:cs="Arial"/>
          <w:lang w:eastAsia="es-ES"/>
        </w:rPr>
        <w:t>, para dar cumplimiento al primer requerimiento de la Directiva presidencial 5 de 20</w:t>
      </w:r>
      <w:r w:rsidR="00A11736" w:rsidRPr="72B58CFD">
        <w:rPr>
          <w:rFonts w:ascii="Verdana" w:hAnsi="Verdana" w:cs="Arial"/>
          <w:lang w:eastAsia="es-ES"/>
        </w:rPr>
        <w:t>2</w:t>
      </w:r>
      <w:r w:rsidR="00AB779E" w:rsidRPr="72B58CFD">
        <w:rPr>
          <w:rFonts w:ascii="Verdana" w:hAnsi="Verdana" w:cs="Arial"/>
          <w:lang w:eastAsia="es-ES"/>
        </w:rPr>
        <w:t xml:space="preserve">5, </w:t>
      </w:r>
      <w:r w:rsidRPr="72B58CFD">
        <w:rPr>
          <w:rFonts w:ascii="Verdana" w:hAnsi="Verdana" w:cs="Arial"/>
          <w:lang w:eastAsia="es-ES"/>
        </w:rPr>
        <w:t xml:space="preserve">convocamos a la Subdirección Administrativa y Financiera del Ministerio de Ambiente y Desarrollo Sostenible en 2 oportunidades para reunirnos los días 6 y 13 de febrero de 2026 (última fecha en </w:t>
      </w:r>
      <w:r w:rsidR="0283F30E" w:rsidRPr="72B58CFD">
        <w:rPr>
          <w:rFonts w:ascii="Verdana" w:hAnsi="Verdana" w:cs="Arial"/>
          <w:lang w:eastAsia="es-ES"/>
        </w:rPr>
        <w:t>l</w:t>
      </w:r>
      <w:r w:rsidRPr="72B58CFD">
        <w:rPr>
          <w:rFonts w:ascii="Verdana" w:hAnsi="Verdana" w:cs="Arial"/>
          <w:lang w:eastAsia="es-ES"/>
        </w:rPr>
        <w:t xml:space="preserve">a que si asistieron al espacio) con el fin de brindar la información de contexto necesaria sobre la cláusula compromisoria y que, posteriormente les permitiría responder a nuestra solicitud de viabilidad económica. Si bien, en dicho espacio se acordó que la Dirección de Cambio Climático y Gestión del Riesgo daría primero respuesta a unos interrogantes planteados por la SAF y la OAP en relación con temas financieros y de administración de los recursos provenientes del ERPA, </w:t>
      </w:r>
      <w:r w:rsidR="00FA2D3A" w:rsidRPr="72B58CFD">
        <w:rPr>
          <w:rFonts w:ascii="Verdana" w:hAnsi="Verdana" w:cs="Arial"/>
          <w:lang w:eastAsia="es-ES"/>
        </w:rPr>
        <w:t xml:space="preserve">y </w:t>
      </w:r>
      <w:r w:rsidRPr="72B58CFD">
        <w:rPr>
          <w:rFonts w:ascii="Verdana" w:hAnsi="Verdana" w:cs="Arial"/>
          <w:lang w:eastAsia="es-ES"/>
        </w:rPr>
        <w:t xml:space="preserve">dichos interrogantes se remitieron vía memorando No. </w:t>
      </w:r>
      <w:hyperlink r:id="rId13" w:anchor="2">
        <w:r w:rsidRPr="72B58CFD">
          <w:rPr>
            <w:rFonts w:ascii="Verdana" w:hAnsi="Verdana" w:cs="Arial"/>
            <w:lang w:eastAsia="es-ES"/>
          </w:rPr>
          <w:t>13012026E3003336</w:t>
        </w:r>
      </w:hyperlink>
      <w:r>
        <w:t xml:space="preserve"> </w:t>
      </w:r>
      <w:r w:rsidRPr="72B58CFD">
        <w:rPr>
          <w:rFonts w:ascii="Verdana" w:hAnsi="Verdana" w:cs="Arial"/>
          <w:lang w:eastAsia="es-ES"/>
        </w:rPr>
        <w:t xml:space="preserve">a la DCCGR el día 17 de febrero de 2026 por parte de la OAJ, </w:t>
      </w:r>
      <w:r w:rsidR="00FA2D3A" w:rsidRPr="72B58CFD">
        <w:rPr>
          <w:rFonts w:ascii="Verdana" w:hAnsi="Verdana" w:cs="Arial"/>
          <w:lang w:eastAsia="es-ES"/>
        </w:rPr>
        <w:t>la</w:t>
      </w:r>
      <w:r w:rsidRPr="72B58CFD">
        <w:rPr>
          <w:rFonts w:ascii="Verdana" w:hAnsi="Verdana" w:cs="Arial"/>
          <w:lang w:eastAsia="es-ES"/>
        </w:rPr>
        <w:t xml:space="preserve"> respuesta </w:t>
      </w:r>
      <w:r w:rsidR="00FA2D3A" w:rsidRPr="72B58CFD">
        <w:rPr>
          <w:rFonts w:ascii="Verdana" w:hAnsi="Verdana" w:cs="Arial"/>
          <w:lang w:eastAsia="es-ES"/>
        </w:rPr>
        <w:t xml:space="preserve">de la DCCGR </w:t>
      </w:r>
      <w:r w:rsidRPr="72B58CFD">
        <w:rPr>
          <w:rFonts w:ascii="Verdana" w:hAnsi="Verdana" w:cs="Arial"/>
          <w:lang w:eastAsia="es-ES"/>
        </w:rPr>
        <w:t xml:space="preserve">no fue allegada a la OAJ </w:t>
      </w:r>
      <w:r w:rsidR="00FA2D3A" w:rsidRPr="72B58CFD">
        <w:rPr>
          <w:rFonts w:ascii="Verdana" w:hAnsi="Verdana" w:cs="Arial"/>
          <w:lang w:eastAsia="es-ES"/>
        </w:rPr>
        <w:t xml:space="preserve">oportunamente </w:t>
      </w:r>
      <w:r w:rsidRPr="72B58CFD">
        <w:rPr>
          <w:rFonts w:ascii="Verdana" w:hAnsi="Verdana" w:cs="Arial"/>
          <w:lang w:eastAsia="es-ES"/>
        </w:rPr>
        <w:t xml:space="preserve">y, por lo tanto, ante la premura de este asunto, </w:t>
      </w:r>
      <w:r w:rsidR="00FA2D3A" w:rsidRPr="72B58CFD">
        <w:rPr>
          <w:rFonts w:ascii="Verdana" w:hAnsi="Verdana" w:cs="Arial"/>
          <w:lang w:eastAsia="es-ES"/>
        </w:rPr>
        <w:t>debimos</w:t>
      </w:r>
      <w:r w:rsidRPr="72B58CFD">
        <w:rPr>
          <w:rFonts w:ascii="Verdana" w:hAnsi="Verdana" w:cs="Arial"/>
          <w:lang w:eastAsia="es-ES"/>
        </w:rPr>
        <w:t xml:space="preserve"> remitir la solicitud de viabilidad económica a la SAF sin tener la información concreta a nivel financiero por parte de DCCGR que resolviera las inquietudes planteadas por las áreas financieras de la Cartera en la reunión del 13 de febrero de 2026. </w:t>
      </w:r>
    </w:p>
    <w:p w14:paraId="4F14B7E7" w14:textId="663B3BD5" w:rsidR="0081624E" w:rsidRDefault="00B801DB" w:rsidP="00DF6019">
      <w:pPr>
        <w:spacing w:after="240" w:line="276" w:lineRule="auto"/>
        <w:jc w:val="both"/>
        <w:rPr>
          <w:rFonts w:ascii="Verdana" w:hAnsi="Verdana" w:cs="Arial"/>
          <w:lang w:eastAsia="es-ES"/>
        </w:rPr>
      </w:pPr>
      <w:r>
        <w:rPr>
          <w:rFonts w:ascii="Verdana" w:hAnsi="Verdana" w:cs="Arial"/>
          <w:lang w:eastAsia="es-ES"/>
        </w:rPr>
        <w:t xml:space="preserve">Así las cosas, elevamos la consulta escriba a </w:t>
      </w:r>
      <w:r w:rsidR="0081624E">
        <w:rPr>
          <w:rFonts w:ascii="Verdana" w:hAnsi="Verdana" w:cs="Arial"/>
          <w:lang w:eastAsia="es-ES"/>
        </w:rPr>
        <w:t xml:space="preserve">la SAF </w:t>
      </w:r>
      <w:r>
        <w:rPr>
          <w:rFonts w:ascii="Verdana" w:hAnsi="Verdana" w:cs="Arial"/>
          <w:lang w:eastAsia="es-ES"/>
        </w:rPr>
        <w:t>con la respectiva</w:t>
      </w:r>
      <w:r w:rsidR="0081624E">
        <w:rPr>
          <w:rFonts w:ascii="Verdana" w:hAnsi="Verdana" w:cs="Arial"/>
          <w:lang w:eastAsia="es-ES"/>
        </w:rPr>
        <w:t xml:space="preserve"> solicitud de viabilidad económica mediante el memorando No. </w:t>
      </w:r>
      <w:hyperlink r:id="rId14" w:anchor="2" w:history="1">
        <w:r w:rsidR="0081624E" w:rsidRPr="0081624E">
          <w:rPr>
            <w:rFonts w:ascii="Verdana" w:hAnsi="Verdana" w:cs="Arial"/>
            <w:lang w:eastAsia="es-ES"/>
          </w:rPr>
          <w:t>13012026E3003926</w:t>
        </w:r>
      </w:hyperlink>
      <w:r w:rsidR="0081624E">
        <w:rPr>
          <w:rFonts w:ascii="Verdana" w:hAnsi="Verdana" w:cs="Arial"/>
          <w:lang w:eastAsia="es-ES"/>
        </w:rPr>
        <w:t xml:space="preserve"> de la OAJ, el cual se rindió mediante memorando No. 41002026E3004182 de la SAF, en los siguientes términos:</w:t>
      </w:r>
    </w:p>
    <w:p w14:paraId="2341B653" w14:textId="7D64F238" w:rsidR="0081624E" w:rsidRPr="00EB1AD4" w:rsidRDefault="00EB1AD4" w:rsidP="00554215">
      <w:pPr>
        <w:spacing w:after="240" w:line="276" w:lineRule="auto"/>
        <w:jc w:val="both"/>
        <w:rPr>
          <w:rFonts w:ascii="Verdana" w:hAnsi="Verdana" w:cs="Arial"/>
          <w:i/>
          <w:iCs/>
          <w:sz w:val="22"/>
          <w:szCs w:val="22"/>
          <w:lang w:eastAsia="es-ES"/>
        </w:rPr>
      </w:pPr>
      <w:r w:rsidRPr="18F40C24">
        <w:rPr>
          <w:rFonts w:ascii="Verdana" w:hAnsi="Verdana" w:cs="Arial"/>
          <w:i/>
          <w:iCs/>
          <w:sz w:val="22"/>
          <w:szCs w:val="22"/>
          <w:lang w:eastAsia="es-ES"/>
        </w:rPr>
        <w:t>“</w:t>
      </w:r>
      <w:r w:rsidR="0081624E" w:rsidRPr="18F40C24">
        <w:rPr>
          <w:rFonts w:ascii="Verdana" w:hAnsi="Verdana" w:cs="Arial"/>
          <w:i/>
          <w:iCs/>
          <w:sz w:val="22"/>
          <w:szCs w:val="22"/>
          <w:lang w:eastAsia="es-ES"/>
        </w:rPr>
        <w:t xml:space="preserve">Desde el punto de vista presupuestal, es necesario precisar que la disponibilidad de recursos para atender eventuales obligaciones </w:t>
      </w:r>
      <w:proofErr w:type="spellStart"/>
      <w:r w:rsidR="0081624E" w:rsidRPr="18F40C24">
        <w:rPr>
          <w:rFonts w:ascii="Verdana" w:hAnsi="Verdana" w:cs="Arial"/>
          <w:i/>
          <w:iCs/>
          <w:sz w:val="22"/>
          <w:szCs w:val="22"/>
          <w:lang w:eastAsia="es-ES"/>
        </w:rPr>
        <w:t>derivadasde</w:t>
      </w:r>
      <w:proofErr w:type="spellEnd"/>
      <w:r w:rsidR="0081624E" w:rsidRPr="18F40C24">
        <w:rPr>
          <w:rFonts w:ascii="Verdana" w:hAnsi="Verdana" w:cs="Arial"/>
          <w:i/>
          <w:iCs/>
          <w:sz w:val="22"/>
          <w:szCs w:val="22"/>
          <w:lang w:eastAsia="es-ES"/>
        </w:rPr>
        <w:t xml:space="preserve"> un posible incumplimiento contractual o de la activación de una cláusula compromisoria se encuentran previstas en el decreto de liquidación el Ministerio para la vigencia 2026.</w:t>
      </w:r>
    </w:p>
    <w:p w14:paraId="5BC5E262" w14:textId="690E31E2" w:rsidR="0081624E" w:rsidRPr="00EB1AD4" w:rsidRDefault="0081624E" w:rsidP="0081624E">
      <w:pPr>
        <w:spacing w:after="240" w:line="276" w:lineRule="auto"/>
        <w:ind w:left="708"/>
        <w:jc w:val="both"/>
        <w:rPr>
          <w:rFonts w:ascii="Verdana" w:hAnsi="Verdana" w:cs="Arial"/>
          <w:i/>
          <w:iCs/>
          <w:sz w:val="22"/>
          <w:szCs w:val="22"/>
          <w:lang w:eastAsia="es-ES"/>
        </w:rPr>
      </w:pPr>
      <w:r w:rsidRPr="00EB1AD4">
        <w:rPr>
          <w:rFonts w:ascii="Verdana" w:hAnsi="Verdana" w:cs="Arial"/>
          <w:i/>
          <w:iCs/>
          <w:sz w:val="22"/>
          <w:szCs w:val="22"/>
          <w:lang w:eastAsia="es-ES"/>
        </w:rPr>
        <w:t xml:space="preserve">De conformidad con el principio de legalidad del gasto público y el principio de especialización presupuestal, consagrados en el Estatuto Orgánico del </w:t>
      </w:r>
      <w:r w:rsidRPr="00EB1AD4">
        <w:rPr>
          <w:rFonts w:ascii="Verdana" w:hAnsi="Verdana" w:cs="Arial"/>
          <w:i/>
          <w:iCs/>
          <w:sz w:val="22"/>
          <w:szCs w:val="22"/>
          <w:lang w:eastAsia="es-ES"/>
        </w:rPr>
        <w:lastRenderedPageBreak/>
        <w:t>Presupuesto, las entidades públicas únicamente pueden comprometer y ejecutar recursos previamente apropiados en el decreto de liquidación del presupuesto para la respectiva vigencia fiscal. En ese sentido, esta Subdirección no puede certificar la existencia de recursos que no fueron solicitados ni aprobados en el marco del anteproyecto de presupuesto ni incorporados en el decreto de liquidación correspondiente.</w:t>
      </w:r>
    </w:p>
    <w:p w14:paraId="20D8C57B" w14:textId="6646F5C0" w:rsidR="0081624E" w:rsidRPr="00EB1AD4" w:rsidRDefault="0081624E" w:rsidP="0081624E">
      <w:pPr>
        <w:spacing w:after="240" w:line="276" w:lineRule="auto"/>
        <w:ind w:left="708"/>
        <w:jc w:val="both"/>
        <w:rPr>
          <w:rFonts w:ascii="Verdana" w:hAnsi="Verdana" w:cs="Arial"/>
          <w:i/>
          <w:iCs/>
          <w:sz w:val="22"/>
          <w:szCs w:val="22"/>
          <w:lang w:eastAsia="es-ES"/>
        </w:rPr>
      </w:pPr>
      <w:r w:rsidRPr="00EB1AD4">
        <w:rPr>
          <w:rFonts w:ascii="Verdana" w:hAnsi="Verdana" w:cs="Arial"/>
          <w:i/>
          <w:iCs/>
          <w:sz w:val="22"/>
          <w:szCs w:val="22"/>
          <w:lang w:eastAsia="es-ES"/>
        </w:rPr>
        <w:t>Para la vigencia 2026, el único rubro relacionado con contingencias judiciales corresponde a “Sentencias y conciliaciones”, cuya proyección fue realizada con base en las necesidades estimadas y justificadas por la Oficina Asesora Jurídica durante el ejercicio de formulación del anteproyecto. Dicho rubro no contempló la eventualidad de un arbitraje internacional en los términos planteados en la cláusula compromisoria. En el evento en que se profiera una decisión que imponga una obligación de pago a cargo del Ministerio, se deberá surtir el trámite correspondiente ante esta Subdirección, adjuntando la justificación técnica, jurídica y económica del requerimiento, con el fin de gestionar la solicitud de recursos adicionales ante el Ministerio de Hacienda y Crédito Público, conforme a los procedimientos presupuestales vigentes.</w:t>
      </w:r>
    </w:p>
    <w:p w14:paraId="5E45781E" w14:textId="5772A36A" w:rsidR="0081624E" w:rsidRPr="00EB1AD4" w:rsidRDefault="0081624E" w:rsidP="0081624E">
      <w:pPr>
        <w:spacing w:after="240" w:line="276" w:lineRule="auto"/>
        <w:ind w:left="708"/>
        <w:jc w:val="both"/>
        <w:rPr>
          <w:rFonts w:ascii="Verdana" w:hAnsi="Verdana" w:cs="Arial"/>
          <w:i/>
          <w:iCs/>
          <w:sz w:val="22"/>
          <w:szCs w:val="22"/>
          <w:lang w:eastAsia="es-ES"/>
        </w:rPr>
      </w:pPr>
      <w:r w:rsidRPr="00EB1AD4">
        <w:rPr>
          <w:rFonts w:ascii="Verdana" w:hAnsi="Verdana" w:cs="Arial"/>
          <w:i/>
          <w:iCs/>
          <w:sz w:val="22"/>
          <w:szCs w:val="22"/>
          <w:lang w:eastAsia="es-ES"/>
        </w:rPr>
        <w:t>De igual forma, en el ejercicio de programación presupuestal para la vigencia 2027, deberán estimarse y solicitarse oportunamente los recursos que puedan derivarse de este u otros procesos que se encuentren en curso y cuya ejecución presupuestal se proyecte para dicha anualidad.</w:t>
      </w:r>
    </w:p>
    <w:p w14:paraId="3702A36F" w14:textId="0EFF5042" w:rsidR="0081624E" w:rsidRPr="00EB1AD4" w:rsidRDefault="0081624E" w:rsidP="0081624E">
      <w:pPr>
        <w:spacing w:after="240" w:line="276" w:lineRule="auto"/>
        <w:ind w:left="708"/>
        <w:jc w:val="both"/>
        <w:rPr>
          <w:rFonts w:ascii="Verdana" w:hAnsi="Verdana" w:cs="Arial"/>
          <w:i/>
          <w:iCs/>
          <w:sz w:val="22"/>
          <w:szCs w:val="22"/>
          <w:lang w:eastAsia="es-ES"/>
        </w:rPr>
      </w:pPr>
      <w:r w:rsidRPr="00EB1AD4">
        <w:rPr>
          <w:rFonts w:ascii="Verdana" w:hAnsi="Verdana" w:cs="Arial"/>
          <w:i/>
          <w:iCs/>
          <w:sz w:val="22"/>
          <w:szCs w:val="22"/>
          <w:lang w:eastAsia="es-ES"/>
        </w:rPr>
        <w:t>En consecuencia, esta Subdirección no puede emitir una certificación de viabilidad económica respecto de la cláusula compromisoria propuesta, toda vez que ello implicaría comprometer recursos inexistentes en el presupuesto aprobado, excediendo nuestras competencias funcionales y el marco normativo presupuestal.</w:t>
      </w:r>
    </w:p>
    <w:p w14:paraId="35B76B10" w14:textId="6E2908A1" w:rsidR="0081624E" w:rsidRPr="00EB1AD4" w:rsidRDefault="0081624E" w:rsidP="0081624E">
      <w:pPr>
        <w:spacing w:after="240" w:line="276" w:lineRule="auto"/>
        <w:ind w:left="708"/>
        <w:jc w:val="both"/>
        <w:rPr>
          <w:rFonts w:ascii="Verdana" w:hAnsi="Verdana" w:cs="Arial"/>
          <w:i/>
          <w:iCs/>
          <w:sz w:val="22"/>
          <w:szCs w:val="22"/>
          <w:lang w:eastAsia="es-ES"/>
        </w:rPr>
      </w:pPr>
      <w:r w:rsidRPr="00EB1AD4">
        <w:rPr>
          <w:rFonts w:ascii="Verdana" w:hAnsi="Verdana" w:cs="Arial"/>
          <w:i/>
          <w:iCs/>
          <w:sz w:val="22"/>
          <w:szCs w:val="22"/>
          <w:lang w:eastAsia="es-ES"/>
        </w:rPr>
        <w:t>No obstante, se considera de especial relevancia la garantía de cumplimiento señalada en el memorando No. 13012026E3003926, en la medida en que constituye un mecanismo de mitigación del riesgo financiero para la entidad, al respaldar el adecuado cumplimiento de las obligaciones contractuales y reducir la probabilidad de contingencias económicas derivadas de un eventual incumplimiento.</w:t>
      </w:r>
    </w:p>
    <w:p w14:paraId="1ED240EE" w14:textId="3BE4FBA7" w:rsidR="0081624E" w:rsidRPr="00EB1AD4" w:rsidRDefault="0081624E" w:rsidP="0081624E">
      <w:pPr>
        <w:spacing w:after="240" w:line="276" w:lineRule="auto"/>
        <w:ind w:left="708"/>
        <w:jc w:val="both"/>
        <w:rPr>
          <w:rFonts w:ascii="Verdana" w:hAnsi="Verdana" w:cs="Arial"/>
          <w:i/>
          <w:iCs/>
          <w:sz w:val="22"/>
          <w:szCs w:val="22"/>
          <w:lang w:eastAsia="es-ES"/>
        </w:rPr>
      </w:pPr>
      <w:r w:rsidRPr="00EB1AD4">
        <w:rPr>
          <w:rFonts w:ascii="Verdana" w:hAnsi="Verdana" w:cs="Arial"/>
          <w:i/>
          <w:iCs/>
          <w:sz w:val="22"/>
          <w:szCs w:val="22"/>
          <w:lang w:eastAsia="es-ES"/>
        </w:rPr>
        <w:t>Desde la perspectiva financiera, la adecuada estructuración y exigibilidad de dicha garantía resulta fundamental para proteger los recursos públicos.</w:t>
      </w:r>
    </w:p>
    <w:p w14:paraId="06D0A366" w14:textId="7C4EAA04" w:rsidR="0081624E" w:rsidRPr="00EB1AD4" w:rsidRDefault="0081624E" w:rsidP="0081624E">
      <w:pPr>
        <w:spacing w:after="240" w:line="276" w:lineRule="auto"/>
        <w:ind w:left="708"/>
        <w:jc w:val="both"/>
        <w:rPr>
          <w:rFonts w:ascii="Verdana" w:hAnsi="Verdana" w:cs="Arial"/>
          <w:i/>
          <w:iCs/>
          <w:sz w:val="22"/>
          <w:szCs w:val="22"/>
          <w:lang w:eastAsia="es-ES"/>
        </w:rPr>
      </w:pPr>
      <w:r w:rsidRPr="00EB1AD4">
        <w:rPr>
          <w:rFonts w:ascii="Verdana" w:hAnsi="Verdana" w:cs="Arial"/>
          <w:i/>
          <w:iCs/>
          <w:sz w:val="22"/>
          <w:szCs w:val="22"/>
          <w:lang w:eastAsia="es-ES"/>
        </w:rPr>
        <w:lastRenderedPageBreak/>
        <w:t>En caso de activarse la cláusula compromisoria, el trámite jurídico correspondería inicialmente a la Oficina Asesora Jurídica, quien deberá remitir a esta Subdirección la solicitud formal de recursos, acompañada de la debida justificación jurídica, técnica, incluyendo la estimación del valor a pagar, el sustento normativo de la obligación y el estado procesal correspondiente.</w:t>
      </w:r>
    </w:p>
    <w:p w14:paraId="7BBCAA81" w14:textId="0C25170F" w:rsidR="0081624E" w:rsidRPr="00EB1AD4" w:rsidRDefault="0081624E" w:rsidP="0081624E">
      <w:pPr>
        <w:spacing w:after="240" w:line="276" w:lineRule="auto"/>
        <w:ind w:left="708"/>
        <w:jc w:val="both"/>
        <w:rPr>
          <w:rFonts w:ascii="Verdana" w:hAnsi="Verdana" w:cs="Arial"/>
          <w:i/>
          <w:iCs/>
          <w:sz w:val="22"/>
          <w:szCs w:val="22"/>
          <w:lang w:eastAsia="es-ES"/>
        </w:rPr>
      </w:pPr>
      <w:r w:rsidRPr="00EB1AD4">
        <w:rPr>
          <w:rFonts w:ascii="Verdana" w:hAnsi="Verdana" w:cs="Arial"/>
          <w:i/>
          <w:iCs/>
          <w:sz w:val="22"/>
          <w:szCs w:val="22"/>
          <w:lang w:eastAsia="es-ES"/>
        </w:rPr>
        <w:t>Recibida dicha solicitud, la Subdirección Administrativa y Financiera realizará el análisis presupuestal respectivo y, en caso de no existir apropiación disponible en la vigencia fiscal en curso, procederá a gestionar ante el Ministerio de Hacienda y Crédito Público la asignación o adición de los recursos necesarios, conforme a los mecanismos establecidos en el Estatuto Orgánico del Presupuesto y a la normativa vigente en materia de modificaciones presupuestales.</w:t>
      </w:r>
    </w:p>
    <w:p w14:paraId="65612F77" w14:textId="328DF684" w:rsidR="00DF6019" w:rsidRPr="00EB1AD4" w:rsidRDefault="0081624E" w:rsidP="0081624E">
      <w:pPr>
        <w:spacing w:after="240" w:line="276" w:lineRule="auto"/>
        <w:ind w:left="708"/>
        <w:jc w:val="both"/>
        <w:rPr>
          <w:rFonts w:ascii="Verdana" w:hAnsi="Verdana" w:cs="Arial"/>
          <w:i/>
          <w:iCs/>
          <w:sz w:val="22"/>
          <w:szCs w:val="22"/>
          <w:lang w:eastAsia="es-ES"/>
        </w:rPr>
      </w:pPr>
      <w:r w:rsidRPr="00EB1AD4">
        <w:rPr>
          <w:rFonts w:ascii="Verdana" w:hAnsi="Verdana" w:cs="Arial"/>
          <w:i/>
          <w:iCs/>
          <w:sz w:val="22"/>
          <w:szCs w:val="22"/>
          <w:lang w:eastAsia="es-ES"/>
        </w:rPr>
        <w:t>Lo anterior, en cumplimiento del principio de legalidad del gasto y de la prohibición de adquirir compromisos sin apropiación presupuestal previa, garantizando que cualquier erogación derivada de un eventual laudo arbitral o decisión judicial cuente con el respaldo presupuestal correspondiente.”</w:t>
      </w:r>
    </w:p>
    <w:p w14:paraId="763B7CD4" w14:textId="07A79E18" w:rsidR="00A363B9" w:rsidRDefault="00A363B9" w:rsidP="00AB779E">
      <w:pPr>
        <w:spacing w:after="240" w:line="276" w:lineRule="auto"/>
        <w:jc w:val="both"/>
        <w:rPr>
          <w:rFonts w:ascii="Verdana" w:hAnsi="Verdana" w:cs="Arial"/>
          <w:lang w:eastAsia="es-ES"/>
        </w:rPr>
      </w:pPr>
      <w:r>
        <w:rPr>
          <w:rFonts w:ascii="Verdana" w:hAnsi="Verdana" w:cs="Arial"/>
          <w:lang w:eastAsia="es-ES"/>
        </w:rPr>
        <w:t xml:space="preserve">Ahora bien, en reunión con la Agencia Nacional de Defensa Jurídica del Estado el </w:t>
      </w:r>
      <w:proofErr w:type="gramStart"/>
      <w:r>
        <w:rPr>
          <w:rFonts w:ascii="Verdana" w:hAnsi="Verdana" w:cs="Arial"/>
          <w:lang w:eastAsia="es-ES"/>
        </w:rPr>
        <w:t>día viernes</w:t>
      </w:r>
      <w:proofErr w:type="gramEnd"/>
      <w:r>
        <w:rPr>
          <w:rFonts w:ascii="Verdana" w:hAnsi="Verdana" w:cs="Arial"/>
          <w:lang w:eastAsia="es-ES"/>
        </w:rPr>
        <w:t xml:space="preserve"> 27 de febrero de 2026, nos fue informado que el monto aproximado de un tribunal arbitral (en Estados Unidos, es decir, en una moneda extranjera más económica que la libra esterlina aplicable en este caso por ser un arbitraje en Londres) tiene un costo de alrededor de 1 millón de dólares, es decir, de 3.755.853.679 millones de pesos colombianos (a hoy). Sin embargo, este valor es apenas estimado, ya que para identificar el verdadero valor se deben realizar cotizaciones en el momento en que el tribunal se vaya a constituir y con los honorarios de los abogados que en su momento se vayan a contratar, siendo ambas circunstancias inciertas en esta oportunidad para la Cartera.</w:t>
      </w:r>
    </w:p>
    <w:p w14:paraId="11AF7021" w14:textId="24AD56F1" w:rsidR="00FA2D3A" w:rsidRDefault="00A363B9" w:rsidP="00AB779E">
      <w:pPr>
        <w:spacing w:after="240" w:line="276" w:lineRule="auto"/>
        <w:jc w:val="both"/>
        <w:rPr>
          <w:rFonts w:ascii="Verdana" w:hAnsi="Verdana" w:cs="Arial"/>
          <w:lang w:eastAsia="es-ES"/>
        </w:rPr>
      </w:pPr>
      <w:r w:rsidRPr="18F40C24">
        <w:rPr>
          <w:rFonts w:ascii="Verdana" w:hAnsi="Verdana" w:cs="Arial"/>
          <w:lang w:eastAsia="es-ES"/>
        </w:rPr>
        <w:t>En todo caso, lo que puede concluirse del valor estimado es la onerosidad de la cláusula compromisoria que, en caso de activarse, implicaría la búsqueda de recursos ante el Ministerio de Hacienda y Crédito Público para la asignación o adición de los recursos necesarios, conforme a los mecanismos establecidos en el Estatuto Orgánico del Presupuesto y a la normativa vigente en materia de modificaciones presupuestales.</w:t>
      </w:r>
      <w:r w:rsidR="00F86B02" w:rsidRPr="18F40C24">
        <w:rPr>
          <w:rFonts w:ascii="Verdana" w:hAnsi="Verdana" w:cs="Arial"/>
          <w:lang w:eastAsia="es-ES"/>
        </w:rPr>
        <w:t xml:space="preserve"> </w:t>
      </w:r>
      <w:r w:rsidR="00F86B02" w:rsidRPr="18F40C24">
        <w:rPr>
          <w:rFonts w:ascii="Verdana" w:hAnsi="Verdana" w:cs="Arial"/>
          <w:b/>
          <w:bCs/>
          <w:lang w:eastAsia="es-ES"/>
        </w:rPr>
        <w:t xml:space="preserve">Sin </w:t>
      </w:r>
      <w:r w:rsidR="00F86B02" w:rsidRPr="18F40C24">
        <w:rPr>
          <w:rFonts w:ascii="Verdana" w:hAnsi="Verdana" w:cs="Arial"/>
          <w:b/>
          <w:bCs/>
          <w:lang w:eastAsia="es-ES"/>
        </w:rPr>
        <w:lastRenderedPageBreak/>
        <w:t xml:space="preserve">embargo, aún dicho escenario es incierto, en tanto que, </w:t>
      </w:r>
      <w:r w:rsidR="00417EF6" w:rsidRPr="18F40C24">
        <w:rPr>
          <w:rFonts w:ascii="Verdana" w:hAnsi="Verdana" w:cs="Arial"/>
          <w:b/>
          <w:bCs/>
          <w:lang w:eastAsia="es-ES"/>
        </w:rPr>
        <w:t>la suscripción de la cláusula compromisoria la estamos haciendo en calidad de sujetos de derecho internacional privado y no como representantes del Estado colombiano.</w:t>
      </w:r>
      <w:r w:rsidR="00CB4EB9">
        <w:rPr>
          <w:rFonts w:ascii="Verdana" w:hAnsi="Verdana" w:cs="Arial"/>
          <w:b/>
          <w:bCs/>
          <w:lang w:eastAsia="es-ES"/>
        </w:rPr>
        <w:t xml:space="preserve"> </w:t>
      </w:r>
      <w:r w:rsidR="00417EF6">
        <w:rPr>
          <w:rFonts w:ascii="Verdana" w:hAnsi="Verdana" w:cs="Arial"/>
          <w:lang w:eastAsia="es-ES"/>
        </w:rPr>
        <w:t>Sumado a lo anterior</w:t>
      </w:r>
      <w:r>
        <w:rPr>
          <w:rFonts w:ascii="Verdana" w:hAnsi="Verdana" w:cs="Arial"/>
          <w:lang w:eastAsia="es-ES"/>
        </w:rPr>
        <w:t xml:space="preserve">, la Dirección de Cambio Climático y Gestión del Riesgo en su memorando de respuesta No. </w:t>
      </w:r>
      <w:r w:rsidRPr="00A363B9">
        <w:rPr>
          <w:rFonts w:ascii="Verdana" w:hAnsi="Verdana" w:cs="Arial"/>
          <w:lang w:eastAsia="es-ES"/>
        </w:rPr>
        <w:t>32022026E3004411</w:t>
      </w:r>
      <w:r>
        <w:rPr>
          <w:rFonts w:ascii="Verdana" w:hAnsi="Verdana" w:cs="Arial"/>
          <w:lang w:eastAsia="es-ES"/>
        </w:rPr>
        <w:t xml:space="preserve"> del 2 de marzo </w:t>
      </w:r>
      <w:r w:rsidR="000A2852">
        <w:rPr>
          <w:rFonts w:ascii="Verdana" w:hAnsi="Verdana" w:cs="Arial"/>
          <w:lang w:eastAsia="es-ES"/>
        </w:rPr>
        <w:t xml:space="preserve">de 2026 </w:t>
      </w:r>
      <w:r>
        <w:rPr>
          <w:rFonts w:ascii="Verdana" w:hAnsi="Verdana" w:cs="Arial"/>
          <w:lang w:eastAsia="es-ES"/>
        </w:rPr>
        <w:t xml:space="preserve">manifiesta que: </w:t>
      </w:r>
    </w:p>
    <w:p w14:paraId="7E4CB511" w14:textId="73091E29" w:rsidR="00A363B9" w:rsidRPr="00EB1AD4" w:rsidRDefault="00A363B9" w:rsidP="72B58CFD">
      <w:pPr>
        <w:spacing w:after="240" w:line="276" w:lineRule="auto"/>
        <w:ind w:left="1416"/>
        <w:jc w:val="both"/>
        <w:rPr>
          <w:rFonts w:ascii="Verdana" w:hAnsi="Verdana" w:cs="Arial"/>
          <w:i/>
          <w:iCs/>
          <w:sz w:val="22"/>
          <w:szCs w:val="22"/>
          <w:lang w:eastAsia="es-ES"/>
        </w:rPr>
      </w:pPr>
      <w:r w:rsidRPr="72B58CFD">
        <w:rPr>
          <w:rFonts w:ascii="Verdana" w:hAnsi="Verdana" w:cs="Arial"/>
          <w:i/>
          <w:iCs/>
          <w:sz w:val="22"/>
          <w:szCs w:val="22"/>
          <w:lang w:eastAsia="es-ES"/>
        </w:rPr>
        <w:t>“1. ¿Cuánto dinero aproximadamente ingresaría a la Cartera Ministerial por la suscri</w:t>
      </w:r>
      <w:r w:rsidR="2E7BDE19" w:rsidRPr="72B58CFD">
        <w:rPr>
          <w:rFonts w:ascii="Verdana" w:hAnsi="Verdana" w:cs="Arial"/>
          <w:i/>
          <w:iCs/>
          <w:sz w:val="22"/>
          <w:szCs w:val="22"/>
          <w:lang w:eastAsia="es-ES"/>
        </w:rPr>
        <w:t>p</w:t>
      </w:r>
      <w:r w:rsidRPr="72B58CFD">
        <w:rPr>
          <w:rFonts w:ascii="Verdana" w:hAnsi="Verdana" w:cs="Arial"/>
          <w:i/>
          <w:iCs/>
          <w:sz w:val="22"/>
          <w:szCs w:val="22"/>
          <w:lang w:eastAsia="es-ES"/>
        </w:rPr>
        <w:t>ción y funcionamiento del acuerdo con el Banco Mundial?</w:t>
      </w:r>
    </w:p>
    <w:p w14:paraId="77004056" w14:textId="77777777" w:rsidR="00A363B9" w:rsidRPr="00EB1AD4" w:rsidRDefault="00A363B9" w:rsidP="00A363B9">
      <w:pPr>
        <w:spacing w:after="240" w:line="276" w:lineRule="auto"/>
        <w:ind w:left="708"/>
        <w:jc w:val="both"/>
        <w:rPr>
          <w:rFonts w:ascii="Verdana" w:hAnsi="Verdana" w:cs="Arial"/>
          <w:i/>
          <w:iCs/>
          <w:sz w:val="22"/>
          <w:szCs w:val="22"/>
          <w:lang w:eastAsia="es-ES"/>
        </w:rPr>
      </w:pPr>
      <w:r w:rsidRPr="00EB1AD4">
        <w:rPr>
          <w:rFonts w:ascii="Verdana" w:hAnsi="Verdana" w:cs="Arial"/>
          <w:i/>
          <w:iCs/>
          <w:sz w:val="22"/>
          <w:szCs w:val="22"/>
          <w:lang w:eastAsia="es-ES"/>
        </w:rPr>
        <w:t xml:space="preserve">Los recursos financieros provenientes de los pagos por resultados serán manejados por una entidad fiduciaria, bajo los términos y condiciones aceptables para el Gobierno de Colombia y para el Banco Interamericano de Reconstrucción y Fomento (BIRF) del Banco Mundial, que incluirá entre otras la obligación de actuar como agente fiduciario del Ministerio de Agricultura con respecto a las disposiciones del acuerdo que se celebre entre el Gobierno de Colombia y el Banco Mundial. </w:t>
      </w:r>
    </w:p>
    <w:p w14:paraId="10DC8FE9" w14:textId="46D5112A" w:rsidR="00A363B9" w:rsidRPr="00EB1AD4" w:rsidRDefault="00A363B9" w:rsidP="00A363B9">
      <w:pPr>
        <w:spacing w:after="240" w:line="276" w:lineRule="auto"/>
        <w:ind w:left="708"/>
        <w:jc w:val="both"/>
        <w:rPr>
          <w:rFonts w:ascii="Verdana" w:hAnsi="Verdana" w:cs="Arial"/>
          <w:i/>
          <w:iCs/>
          <w:sz w:val="22"/>
          <w:szCs w:val="22"/>
          <w:lang w:eastAsia="es-ES"/>
        </w:rPr>
      </w:pPr>
      <w:r w:rsidRPr="00EB1AD4">
        <w:rPr>
          <w:rFonts w:ascii="Verdana" w:hAnsi="Verdana" w:cs="Arial"/>
          <w:i/>
          <w:iCs/>
          <w:sz w:val="22"/>
          <w:szCs w:val="22"/>
          <w:lang w:eastAsia="es-ES"/>
        </w:rPr>
        <w:t>Por lo tanto, a la cartera de Ambiente no ingresará directamente dinero, los recursos que apoyen la gestión serán asignados de acuerdos a las necesidades técnicas para la implementación.</w:t>
      </w:r>
    </w:p>
    <w:p w14:paraId="28286F7E" w14:textId="6F924AA2" w:rsidR="00A363B9" w:rsidRPr="00EB1AD4" w:rsidRDefault="00A363B9" w:rsidP="00A363B9">
      <w:pPr>
        <w:spacing w:after="240" w:line="276" w:lineRule="auto"/>
        <w:ind w:left="1416"/>
        <w:jc w:val="both"/>
        <w:rPr>
          <w:rFonts w:ascii="Verdana" w:hAnsi="Verdana" w:cs="Arial"/>
          <w:i/>
          <w:iCs/>
          <w:sz w:val="22"/>
          <w:szCs w:val="22"/>
          <w:lang w:eastAsia="es-ES"/>
        </w:rPr>
      </w:pPr>
      <w:r w:rsidRPr="00EB1AD4">
        <w:rPr>
          <w:rFonts w:ascii="Verdana" w:hAnsi="Verdana" w:cs="Arial"/>
          <w:i/>
          <w:iCs/>
          <w:sz w:val="22"/>
          <w:szCs w:val="22"/>
          <w:lang w:eastAsia="es-ES"/>
        </w:rPr>
        <w:t>2.Dicho dinero ingresaría directamente a la Cartera Ministerial o sería consignado a otra entidad (</w:t>
      </w:r>
      <w:proofErr w:type="spellStart"/>
      <w:r w:rsidRPr="00EB1AD4">
        <w:rPr>
          <w:rFonts w:ascii="Verdana" w:hAnsi="Verdana" w:cs="Arial"/>
          <w:i/>
          <w:iCs/>
          <w:sz w:val="22"/>
          <w:szCs w:val="22"/>
          <w:lang w:eastAsia="es-ES"/>
        </w:rPr>
        <w:t>ej</w:t>
      </w:r>
      <w:proofErr w:type="spellEnd"/>
      <w:r w:rsidRPr="00EB1AD4">
        <w:rPr>
          <w:rFonts w:ascii="Verdana" w:hAnsi="Verdana" w:cs="Arial"/>
          <w:i/>
          <w:iCs/>
          <w:sz w:val="22"/>
          <w:szCs w:val="22"/>
          <w:lang w:eastAsia="es-ES"/>
        </w:rPr>
        <w:t>: Ministerio de Hacienda y Crédito Público).</w:t>
      </w:r>
    </w:p>
    <w:p w14:paraId="01AE52C6" w14:textId="24B55E58" w:rsidR="00A363B9" w:rsidRPr="00EB1AD4" w:rsidRDefault="00A363B9" w:rsidP="00A363B9">
      <w:pPr>
        <w:spacing w:after="240" w:line="276" w:lineRule="auto"/>
        <w:ind w:left="708"/>
        <w:jc w:val="both"/>
        <w:rPr>
          <w:rFonts w:ascii="Verdana" w:hAnsi="Verdana" w:cs="Arial"/>
          <w:i/>
          <w:iCs/>
          <w:sz w:val="22"/>
          <w:szCs w:val="22"/>
          <w:lang w:eastAsia="es-ES"/>
        </w:rPr>
      </w:pPr>
      <w:r w:rsidRPr="00EB1AD4">
        <w:rPr>
          <w:rFonts w:ascii="Verdana" w:hAnsi="Verdana" w:cs="Arial"/>
          <w:i/>
          <w:iCs/>
          <w:sz w:val="22"/>
          <w:szCs w:val="22"/>
          <w:lang w:eastAsia="es-ES"/>
        </w:rPr>
        <w:t>Como se mencionó en el punto anterior el dinero ingresará a la Fiducia.</w:t>
      </w:r>
    </w:p>
    <w:p w14:paraId="6539C10E" w14:textId="0595D017" w:rsidR="00A363B9" w:rsidRPr="00EB1AD4" w:rsidRDefault="00A363B9" w:rsidP="00A363B9">
      <w:pPr>
        <w:spacing w:after="240" w:line="276" w:lineRule="auto"/>
        <w:ind w:left="1416"/>
        <w:jc w:val="both"/>
        <w:rPr>
          <w:rFonts w:ascii="Verdana" w:hAnsi="Verdana" w:cs="Arial"/>
          <w:i/>
          <w:iCs/>
          <w:sz w:val="22"/>
          <w:szCs w:val="22"/>
          <w:lang w:eastAsia="es-ES"/>
        </w:rPr>
      </w:pPr>
      <w:proofErr w:type="gramStart"/>
      <w:r w:rsidRPr="00EB1AD4">
        <w:rPr>
          <w:rFonts w:ascii="Verdana" w:hAnsi="Verdana" w:cs="Arial"/>
          <w:i/>
          <w:iCs/>
          <w:sz w:val="22"/>
          <w:szCs w:val="22"/>
          <w:lang w:eastAsia="es-ES"/>
        </w:rPr>
        <w:t>3.¿</w:t>
      </w:r>
      <w:proofErr w:type="gramEnd"/>
      <w:r w:rsidRPr="00EB1AD4">
        <w:rPr>
          <w:rFonts w:ascii="Verdana" w:hAnsi="Verdana" w:cs="Arial"/>
          <w:i/>
          <w:iCs/>
          <w:sz w:val="22"/>
          <w:szCs w:val="22"/>
          <w:lang w:eastAsia="es-ES"/>
        </w:rPr>
        <w:t>El dinero ingresado por dicho acuerdo sería destinado para garantizar los costos de la cláusula compromisoria (arbitraje en Londres)?</w:t>
      </w:r>
    </w:p>
    <w:p w14:paraId="4E29F1FA" w14:textId="77777777" w:rsidR="00A363B9" w:rsidRPr="00EB1AD4" w:rsidRDefault="00A363B9" w:rsidP="00A363B9">
      <w:pPr>
        <w:spacing w:after="240" w:line="276" w:lineRule="auto"/>
        <w:ind w:left="708"/>
        <w:jc w:val="both"/>
        <w:rPr>
          <w:rFonts w:ascii="Verdana" w:hAnsi="Verdana" w:cs="Arial"/>
          <w:i/>
          <w:iCs/>
          <w:sz w:val="22"/>
          <w:szCs w:val="22"/>
          <w:lang w:eastAsia="es-ES"/>
        </w:rPr>
      </w:pPr>
      <w:r w:rsidRPr="00EB1AD4">
        <w:rPr>
          <w:rFonts w:ascii="Verdana" w:hAnsi="Verdana" w:cs="Arial"/>
          <w:i/>
          <w:iCs/>
          <w:sz w:val="22"/>
          <w:szCs w:val="22"/>
          <w:lang w:eastAsia="es-ES"/>
        </w:rPr>
        <w:t>La destinación de los dineros obedecerá al PDB del programa, por lo tanto, será el comité directivo quien abordará y decidirá cómo garantizar los costos derivados.</w:t>
      </w:r>
    </w:p>
    <w:p w14:paraId="192E2DCF" w14:textId="1BA02F59" w:rsidR="00A363B9" w:rsidRPr="00EB1AD4" w:rsidRDefault="00A363B9" w:rsidP="00A363B9">
      <w:pPr>
        <w:spacing w:after="240" w:line="276" w:lineRule="auto"/>
        <w:ind w:left="708"/>
        <w:jc w:val="both"/>
        <w:rPr>
          <w:rFonts w:ascii="Verdana" w:hAnsi="Verdana" w:cs="Arial"/>
          <w:i/>
          <w:iCs/>
          <w:sz w:val="22"/>
          <w:szCs w:val="22"/>
          <w:lang w:eastAsia="es-ES"/>
        </w:rPr>
      </w:pPr>
      <w:r w:rsidRPr="00EB1AD4">
        <w:rPr>
          <w:rFonts w:ascii="Verdana" w:hAnsi="Verdana" w:cs="Arial"/>
          <w:i/>
          <w:iCs/>
          <w:noProof/>
          <w:sz w:val="22"/>
          <w:szCs w:val="22"/>
          <w:lang w:eastAsia="es-ES"/>
          <w14:ligatures w14:val="standardContextual"/>
        </w:rPr>
        <w:lastRenderedPageBreak/>
        <w:drawing>
          <wp:inline distT="0" distB="0" distL="0" distR="0" wp14:anchorId="6903F038" wp14:editId="561BF2E8">
            <wp:extent cx="5612130" cy="3033395"/>
            <wp:effectExtent l="0" t="0" r="1270" b="1905"/>
            <wp:docPr id="213827774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277745" name="Imagen 2138277745"/>
                    <pic:cNvPicPr/>
                  </pic:nvPicPr>
                  <pic:blipFill>
                    <a:blip r:embed="rId15">
                      <a:extLst>
                        <a:ext uri="{28A0092B-C50C-407E-A947-70E740481C1C}">
                          <a14:useLocalDpi xmlns:a14="http://schemas.microsoft.com/office/drawing/2010/main" val="0"/>
                        </a:ext>
                      </a:extLst>
                    </a:blip>
                    <a:stretch>
                      <a:fillRect/>
                    </a:stretch>
                  </pic:blipFill>
                  <pic:spPr>
                    <a:xfrm>
                      <a:off x="0" y="0"/>
                      <a:ext cx="5612130" cy="3033395"/>
                    </a:xfrm>
                    <a:prstGeom prst="rect">
                      <a:avLst/>
                    </a:prstGeom>
                  </pic:spPr>
                </pic:pic>
              </a:graphicData>
            </a:graphic>
          </wp:inline>
        </w:drawing>
      </w:r>
    </w:p>
    <w:p w14:paraId="598DF368" w14:textId="54B5D96C" w:rsidR="00A363B9" w:rsidRPr="00EB1AD4" w:rsidRDefault="00A363B9" w:rsidP="00A363B9">
      <w:pPr>
        <w:spacing w:after="240" w:line="276" w:lineRule="auto"/>
        <w:ind w:left="708"/>
        <w:jc w:val="both"/>
        <w:rPr>
          <w:rFonts w:ascii="Verdana" w:hAnsi="Verdana" w:cs="Arial"/>
          <w:i/>
          <w:iCs/>
          <w:sz w:val="22"/>
          <w:szCs w:val="22"/>
          <w:lang w:eastAsia="es-ES"/>
        </w:rPr>
      </w:pPr>
      <w:r w:rsidRPr="00EB1AD4">
        <w:rPr>
          <w:rFonts w:ascii="Verdana" w:hAnsi="Verdana" w:cs="Arial"/>
          <w:i/>
          <w:iCs/>
          <w:sz w:val="22"/>
          <w:szCs w:val="22"/>
          <w:lang w:eastAsia="es-ES"/>
        </w:rPr>
        <w:t>En la Figura 3, se presenta el esquema del PDB con las formas de asignación, criterio de distribución y tipo de beneficiario.</w:t>
      </w:r>
    </w:p>
    <w:p w14:paraId="005F36C7" w14:textId="5A4AB2D1" w:rsidR="00A363B9" w:rsidRPr="00EB1AD4" w:rsidRDefault="00A363B9" w:rsidP="00A363B9">
      <w:pPr>
        <w:spacing w:after="240" w:line="276" w:lineRule="auto"/>
        <w:ind w:left="1416"/>
        <w:jc w:val="both"/>
        <w:rPr>
          <w:rFonts w:ascii="Verdana" w:hAnsi="Verdana" w:cs="Arial"/>
          <w:i/>
          <w:iCs/>
          <w:sz w:val="22"/>
          <w:szCs w:val="22"/>
          <w:lang w:eastAsia="es-ES"/>
        </w:rPr>
      </w:pPr>
      <w:proofErr w:type="gramStart"/>
      <w:r w:rsidRPr="00EB1AD4">
        <w:rPr>
          <w:rFonts w:ascii="Verdana" w:hAnsi="Verdana" w:cs="Arial"/>
          <w:i/>
          <w:iCs/>
          <w:sz w:val="22"/>
          <w:szCs w:val="22"/>
          <w:lang w:eastAsia="es-ES"/>
        </w:rPr>
        <w:t>4.¿</w:t>
      </w:r>
      <w:proofErr w:type="gramEnd"/>
      <w:r w:rsidRPr="00EB1AD4">
        <w:rPr>
          <w:rFonts w:ascii="Verdana" w:hAnsi="Verdana" w:cs="Arial"/>
          <w:i/>
          <w:iCs/>
          <w:sz w:val="22"/>
          <w:szCs w:val="22"/>
          <w:lang w:eastAsia="es-ES"/>
        </w:rPr>
        <w:t>El dinero para garantizar los costos de la cláusula compromisoria provendría del Presupuesto General de la Nación o de los dineros del acuerdo ERPA con el Banco Mundial?</w:t>
      </w:r>
    </w:p>
    <w:p w14:paraId="1FB67A4E" w14:textId="5C48719C" w:rsidR="00A363B9" w:rsidRPr="00EB1AD4" w:rsidRDefault="00A363B9" w:rsidP="00A363B9">
      <w:pPr>
        <w:spacing w:after="240" w:line="276" w:lineRule="auto"/>
        <w:ind w:left="708"/>
        <w:jc w:val="both"/>
        <w:rPr>
          <w:rFonts w:ascii="Verdana" w:hAnsi="Verdana" w:cs="Arial"/>
          <w:i/>
          <w:iCs/>
          <w:sz w:val="22"/>
          <w:szCs w:val="22"/>
          <w:lang w:eastAsia="es-ES"/>
        </w:rPr>
      </w:pPr>
      <w:r w:rsidRPr="00EB1AD4">
        <w:rPr>
          <w:rFonts w:ascii="Verdana" w:hAnsi="Verdana" w:cs="Arial"/>
          <w:i/>
          <w:iCs/>
          <w:sz w:val="22"/>
          <w:szCs w:val="22"/>
          <w:lang w:eastAsia="es-ES"/>
        </w:rPr>
        <w:t>Sobre el asunto, quisiéramos ampliar las consultas con la Oficina Asesora Jurídica y la Oficina Asesora de Planeación para analizar las alternativas y viabilidad, dado que, se trata de un mecanismo innovador para el país y no contamos con la experiencia en la DCCGR y bajo el contexto de la reciente Directiva Presidencial No. 5 de 2025, también consideramos que es de relevancia la asesoría de la Oficina de Asuntos Internacionales quienes a través de su equipo de abogados internacionalistas participaron en los espacios con el Banco Mundial en el que se trató este componente.</w:t>
      </w:r>
      <w:r w:rsidR="00EB1AD4" w:rsidRPr="00EB1AD4">
        <w:rPr>
          <w:rFonts w:ascii="Verdana" w:hAnsi="Verdana" w:cs="Arial"/>
          <w:i/>
          <w:iCs/>
          <w:sz w:val="22"/>
          <w:szCs w:val="22"/>
          <w:lang w:eastAsia="es-ES"/>
        </w:rPr>
        <w:t>”</w:t>
      </w:r>
    </w:p>
    <w:p w14:paraId="55755CB3" w14:textId="77777777" w:rsidR="000A2852" w:rsidRDefault="000A2852" w:rsidP="00AB779E">
      <w:pPr>
        <w:spacing w:after="240" w:line="276" w:lineRule="auto"/>
        <w:jc w:val="both"/>
        <w:rPr>
          <w:rFonts w:ascii="Verdana" w:hAnsi="Verdana" w:cs="Arial"/>
          <w:lang w:eastAsia="es-ES"/>
        </w:rPr>
      </w:pPr>
      <w:r>
        <w:rPr>
          <w:rFonts w:ascii="Verdana" w:hAnsi="Verdana" w:cs="Arial"/>
          <w:lang w:eastAsia="es-ES"/>
        </w:rPr>
        <w:t>Lo anterior, permite concluir que:</w:t>
      </w:r>
    </w:p>
    <w:p w14:paraId="35748E99" w14:textId="28ED1420" w:rsidR="000A2852" w:rsidRPr="000A2852" w:rsidRDefault="000A2852" w:rsidP="000A2852">
      <w:pPr>
        <w:pStyle w:val="Prrafodelista"/>
        <w:numPr>
          <w:ilvl w:val="0"/>
          <w:numId w:val="49"/>
        </w:numPr>
        <w:spacing w:after="240" w:line="276" w:lineRule="auto"/>
        <w:jc w:val="both"/>
        <w:rPr>
          <w:rFonts w:ascii="Verdana" w:hAnsi="Verdana" w:cs="Arial"/>
          <w:lang w:eastAsia="es-ES"/>
        </w:rPr>
      </w:pPr>
      <w:r w:rsidRPr="72B58CFD">
        <w:rPr>
          <w:rFonts w:ascii="Verdana" w:hAnsi="Verdana" w:cs="Arial"/>
          <w:lang w:eastAsia="es-ES"/>
        </w:rPr>
        <w:t xml:space="preserve">A la cartera de Ambiente no ingresará directamente dinero, los recursos que apoyen la gestión serán asignados </w:t>
      </w:r>
      <w:proofErr w:type="gramStart"/>
      <w:r w:rsidRPr="72B58CFD">
        <w:rPr>
          <w:rFonts w:ascii="Verdana" w:hAnsi="Verdana" w:cs="Arial"/>
          <w:lang w:eastAsia="es-ES"/>
        </w:rPr>
        <w:t>de acuerdo a</w:t>
      </w:r>
      <w:proofErr w:type="gramEnd"/>
      <w:r w:rsidRPr="72B58CFD">
        <w:rPr>
          <w:rFonts w:ascii="Verdana" w:hAnsi="Verdana" w:cs="Arial"/>
          <w:lang w:eastAsia="es-ES"/>
        </w:rPr>
        <w:t xml:space="preserve"> las necesidades técnicas para la implementación.</w:t>
      </w:r>
    </w:p>
    <w:p w14:paraId="011F5ACD" w14:textId="26EBE689" w:rsidR="000A2852" w:rsidRDefault="000A2852" w:rsidP="000A2852">
      <w:pPr>
        <w:pStyle w:val="Prrafodelista"/>
        <w:numPr>
          <w:ilvl w:val="0"/>
          <w:numId w:val="49"/>
        </w:numPr>
        <w:spacing w:after="240" w:line="276" w:lineRule="auto"/>
        <w:jc w:val="both"/>
        <w:rPr>
          <w:rFonts w:ascii="Verdana" w:hAnsi="Verdana" w:cs="Arial"/>
          <w:lang w:eastAsia="es-ES"/>
        </w:rPr>
      </w:pPr>
      <w:r w:rsidRPr="000A2852">
        <w:rPr>
          <w:rFonts w:ascii="Verdana" w:hAnsi="Verdana" w:cs="Arial"/>
          <w:lang w:eastAsia="es-ES"/>
        </w:rPr>
        <w:t xml:space="preserve">La destinación de los dineros obedecerá al PDB del programa, por lo tanto, será el comité directivo quien abordará y decidirá cómo </w:t>
      </w:r>
      <w:r w:rsidRPr="000A2852">
        <w:rPr>
          <w:rFonts w:ascii="Verdana" w:hAnsi="Verdana" w:cs="Arial"/>
          <w:lang w:eastAsia="es-ES"/>
        </w:rPr>
        <w:lastRenderedPageBreak/>
        <w:t>garantizar los costos derivados, siendo incierto e improbable que dentro de los costos del programa se encuentre aquellos asociados la cláusula compromisoria.</w:t>
      </w:r>
    </w:p>
    <w:p w14:paraId="7EBB0B1E" w14:textId="01ACAA4D" w:rsidR="000A2852" w:rsidRDefault="000A2852" w:rsidP="000A2852">
      <w:pPr>
        <w:pStyle w:val="Prrafodelista"/>
        <w:numPr>
          <w:ilvl w:val="0"/>
          <w:numId w:val="49"/>
        </w:numPr>
        <w:spacing w:after="240" w:line="276" w:lineRule="auto"/>
        <w:jc w:val="both"/>
        <w:rPr>
          <w:rFonts w:ascii="Verdana" w:hAnsi="Verdana" w:cs="Arial"/>
          <w:lang w:eastAsia="es-ES"/>
        </w:rPr>
      </w:pPr>
      <w:proofErr w:type="gramStart"/>
      <w:r>
        <w:rPr>
          <w:rFonts w:ascii="Verdana" w:hAnsi="Verdana" w:cs="Arial"/>
          <w:lang w:eastAsia="es-ES"/>
        </w:rPr>
        <w:t>El instrumento a suscribir</w:t>
      </w:r>
      <w:proofErr w:type="gramEnd"/>
      <w:r>
        <w:rPr>
          <w:rFonts w:ascii="Verdana" w:hAnsi="Verdana" w:cs="Arial"/>
          <w:lang w:eastAsia="es-ES"/>
        </w:rPr>
        <w:t xml:space="preserve"> es novedoso para la experiencia que tiene la DCCGR y afirman que fue la Oficina de Asuntos Internacionales la que participó en los espacios con el Banco Mundial acerca del componente de la cláusula compromisoria.</w:t>
      </w:r>
    </w:p>
    <w:p w14:paraId="0EB4707B" w14:textId="2CCE275D" w:rsidR="000A2852" w:rsidRDefault="000A2852" w:rsidP="000A2852">
      <w:pPr>
        <w:spacing w:after="240" w:line="276" w:lineRule="auto"/>
        <w:jc w:val="both"/>
        <w:rPr>
          <w:rFonts w:ascii="Verdana" w:hAnsi="Verdana" w:cs="Arial"/>
          <w:lang w:eastAsia="es-ES"/>
        </w:rPr>
      </w:pPr>
      <w:r w:rsidRPr="18F40C24">
        <w:rPr>
          <w:rFonts w:ascii="Verdana" w:hAnsi="Verdana" w:cs="Arial"/>
          <w:b/>
          <w:bCs/>
          <w:lang w:eastAsia="es-ES"/>
        </w:rPr>
        <w:t xml:space="preserve">En razón a lo anterior, corresponde a la OAI determinar si la cláusula compromisoria estaría dentro de la destinación de los dineros del programa o si es posible que el comité directivo asegure que la cláusula sea incluida dentro de los costos derivados, esto con el fin de garantizar que la Cartera de Ambiente cuente con el rubro requerido para costear la onerosa cláusula compromisoria, </w:t>
      </w:r>
      <w:r w:rsidR="00927AA3" w:rsidRPr="18F40C24">
        <w:rPr>
          <w:rFonts w:ascii="Verdana" w:hAnsi="Verdana" w:cs="Arial"/>
          <w:b/>
          <w:bCs/>
          <w:lang w:eastAsia="es-ES"/>
        </w:rPr>
        <w:t>ya que de no contar con dicho dinero, se dificultaría</w:t>
      </w:r>
      <w:r w:rsidR="00FB5D7E" w:rsidRPr="18F40C24">
        <w:rPr>
          <w:rFonts w:ascii="Verdana" w:hAnsi="Verdana" w:cs="Arial"/>
          <w:b/>
          <w:bCs/>
          <w:lang w:eastAsia="es-ES"/>
        </w:rPr>
        <w:t xml:space="preserve"> o inclusive, imposibilitaría,</w:t>
      </w:r>
      <w:r w:rsidR="00927AA3" w:rsidRPr="18F40C24">
        <w:rPr>
          <w:rFonts w:ascii="Verdana" w:hAnsi="Verdana" w:cs="Arial"/>
          <w:b/>
          <w:bCs/>
          <w:lang w:eastAsia="es-ES"/>
        </w:rPr>
        <w:t xml:space="preserve"> la solicitud de dineros ante MinHacienda, en la medida que la suscripción de la cláusula compromisoria la estamos haciendo en calidad de sujetos de derecho internacional privado y no como representantes del Estado colombiano. </w:t>
      </w:r>
      <w:r w:rsidR="00927AA3" w:rsidRPr="18F40C24">
        <w:rPr>
          <w:rFonts w:ascii="Verdana" w:hAnsi="Verdana" w:cs="Arial"/>
          <w:lang w:eastAsia="es-ES"/>
        </w:rPr>
        <w:t xml:space="preserve">Lo anterior es relevante, </w:t>
      </w:r>
      <w:r w:rsidRPr="18F40C24">
        <w:rPr>
          <w:rFonts w:ascii="Verdana" w:hAnsi="Verdana" w:cs="Arial"/>
          <w:lang w:eastAsia="es-ES"/>
        </w:rPr>
        <w:t xml:space="preserve">en la medida </w:t>
      </w:r>
      <w:r w:rsidR="00E560B0" w:rsidRPr="18F40C24">
        <w:rPr>
          <w:rFonts w:ascii="Verdana" w:hAnsi="Verdana" w:cs="Arial"/>
          <w:lang w:eastAsia="es-ES"/>
        </w:rPr>
        <w:t>que,</w:t>
      </w:r>
      <w:r w:rsidRPr="18F40C24">
        <w:rPr>
          <w:rFonts w:ascii="Verdana" w:hAnsi="Verdana" w:cs="Arial"/>
          <w:lang w:eastAsia="es-ES"/>
        </w:rPr>
        <w:t xml:space="preserve"> según la SAF, en caso de activarse la cláusula compromisoria, el trámite jurídico correspondería inicialmente a la Oficina Asesora Jurídica, quien deberá remitir a esta Subdirección la solicitud formal de recursos, acompañada de la debida justificación jurídica, técnica, incluyendo la estimación del valor a pagar, el sustento normativo de la obligación y el estado procesal correspondiente</w:t>
      </w:r>
      <w:r w:rsidR="00417EF6" w:rsidRPr="18F40C24">
        <w:rPr>
          <w:rFonts w:ascii="Verdana" w:hAnsi="Verdana" w:cs="Arial"/>
          <w:lang w:eastAsia="es-ES"/>
        </w:rPr>
        <w:t>.</w:t>
      </w:r>
    </w:p>
    <w:p w14:paraId="1E4FC0D5" w14:textId="28D74217" w:rsidR="084A3445" w:rsidRDefault="084A3445" w:rsidP="00554215">
      <w:pPr>
        <w:spacing w:after="240" w:line="276" w:lineRule="auto"/>
        <w:jc w:val="both"/>
        <w:rPr>
          <w:rFonts w:ascii="Verdana" w:eastAsia="Verdana" w:hAnsi="Verdana" w:cs="Verdana"/>
        </w:rPr>
      </w:pPr>
      <w:r w:rsidRPr="18F40C24">
        <w:rPr>
          <w:rFonts w:ascii="Verdana" w:eastAsia="Verdana" w:hAnsi="Verdana" w:cs="Verdana"/>
        </w:rPr>
        <w:t>En todo caso, y s</w:t>
      </w:r>
      <w:r w:rsidR="4C23630B" w:rsidRPr="18F40C24">
        <w:rPr>
          <w:rFonts w:ascii="Verdana" w:eastAsia="Verdana" w:hAnsi="Verdana" w:cs="Verdana"/>
        </w:rPr>
        <w:t>in perjuicio de la naturaleza contractual bajo el derecho internacional privado, deberá tenerse en cuenta que el Ministerio continúa siendo un órgano del Estado colombiano. En consecuencia, se recomienda</w:t>
      </w:r>
      <w:r w:rsidR="20E86E8F" w:rsidRPr="18F40C24">
        <w:rPr>
          <w:rFonts w:ascii="Verdana" w:eastAsia="Verdana" w:hAnsi="Verdana" w:cs="Verdana"/>
        </w:rPr>
        <w:t xml:space="preserve"> a la OAI</w:t>
      </w:r>
      <w:r w:rsidR="4C23630B" w:rsidRPr="18F40C24">
        <w:rPr>
          <w:rFonts w:ascii="Verdana" w:eastAsia="Verdana" w:hAnsi="Verdana" w:cs="Verdana"/>
        </w:rPr>
        <w:t xml:space="preserve"> articular con el Ministerio de Relaciones Exteriores y la Agencia Nacional de Defensa Jurídica del Estado el análisis preventivo de eventuales impactos en materia de responsabilidad patrimonial del Estado.</w:t>
      </w:r>
    </w:p>
    <w:p w14:paraId="231CCFF7" w14:textId="139FA7AE" w:rsidR="005E7BA8" w:rsidRDefault="005E7BA8" w:rsidP="72B58CFD">
      <w:pPr>
        <w:spacing w:after="240" w:line="276" w:lineRule="auto"/>
        <w:jc w:val="both"/>
        <w:rPr>
          <w:rFonts w:ascii="Verdana" w:hAnsi="Verdana" w:cs="Arial"/>
          <w:b/>
          <w:bCs/>
          <w:lang w:eastAsia="es-ES"/>
        </w:rPr>
      </w:pPr>
      <w:r w:rsidRPr="72B58CFD">
        <w:rPr>
          <w:rFonts w:ascii="Verdana" w:hAnsi="Verdana" w:cs="Arial"/>
          <w:lang w:eastAsia="es-ES"/>
        </w:rPr>
        <w:t>Por lo anterior, se brinda viabilidad jurídica de la cláusula compromisoria</w:t>
      </w:r>
      <w:r w:rsidR="00F00554" w:rsidRPr="72B58CFD">
        <w:rPr>
          <w:rFonts w:ascii="Verdana" w:hAnsi="Verdana" w:cs="Arial"/>
          <w:lang w:eastAsia="es-ES"/>
        </w:rPr>
        <w:t xml:space="preserve"> conforme al </w:t>
      </w:r>
      <w:r w:rsidR="00BD2384" w:rsidRPr="72B58CFD">
        <w:rPr>
          <w:rFonts w:ascii="Verdana" w:hAnsi="Verdana" w:cs="Arial"/>
          <w:lang w:eastAsia="es-ES"/>
        </w:rPr>
        <w:t xml:space="preserve">acápite </w:t>
      </w:r>
      <w:r w:rsidR="00BD2384" w:rsidRPr="72B58CFD">
        <w:rPr>
          <w:rFonts w:ascii="Verdana" w:hAnsi="Verdana" w:cs="Arial"/>
          <w:b/>
          <w:bCs/>
          <w:i/>
          <w:iCs/>
          <w:lang w:eastAsia="es-ES"/>
        </w:rPr>
        <w:t xml:space="preserve">“b. Sobre la cláusula compromisoria contenida </w:t>
      </w:r>
      <w:r w:rsidR="00BD2384" w:rsidRPr="72B58CFD">
        <w:rPr>
          <w:rFonts w:ascii="Verdana" w:hAnsi="Verdana" w:cs="Arial"/>
          <w:b/>
          <w:bCs/>
          <w:i/>
          <w:iCs/>
          <w:lang w:eastAsia="es-ES"/>
        </w:rPr>
        <w:lastRenderedPageBreak/>
        <w:t>en los términos generales”</w:t>
      </w:r>
      <w:r w:rsidR="00BD2384" w:rsidRPr="72B58CFD">
        <w:rPr>
          <w:rFonts w:ascii="Verdana" w:hAnsi="Verdana" w:cs="Arial"/>
          <w:b/>
          <w:bCs/>
          <w:lang w:eastAsia="es-ES"/>
        </w:rPr>
        <w:t xml:space="preserve"> </w:t>
      </w:r>
      <w:r w:rsidR="00BD2384" w:rsidRPr="72B58CFD">
        <w:rPr>
          <w:rFonts w:ascii="Verdana" w:hAnsi="Verdana" w:cs="Arial"/>
          <w:lang w:eastAsia="es-ES"/>
        </w:rPr>
        <w:t>(páginas 26 a 39) y se condiciona la viabilidad económica en los términos del memorando de respuesta de la SAF y las consideraciones adicionales realizadas por esta OAJ en los párrafos anteriores</w:t>
      </w:r>
      <w:r w:rsidR="00D46F9C" w:rsidRPr="72B58CFD">
        <w:rPr>
          <w:rFonts w:ascii="Verdana" w:hAnsi="Verdana" w:cs="Arial"/>
          <w:lang w:eastAsia="es-ES"/>
        </w:rPr>
        <w:t xml:space="preserve"> (páginas 42 a 50).</w:t>
      </w:r>
    </w:p>
    <w:p w14:paraId="2E7E43F1" w14:textId="2A29C86C" w:rsidR="00DF6019" w:rsidRPr="00DF6019" w:rsidRDefault="4209CB52" w:rsidP="00AB779E">
      <w:pPr>
        <w:spacing w:after="240" w:line="276" w:lineRule="auto"/>
        <w:jc w:val="both"/>
        <w:rPr>
          <w:rFonts w:ascii="Verdana" w:hAnsi="Verdana" w:cs="Arial"/>
          <w:lang w:eastAsia="es-ES"/>
        </w:rPr>
      </w:pPr>
      <w:r w:rsidRPr="18F40C24">
        <w:rPr>
          <w:rFonts w:ascii="Verdana" w:eastAsia="Verdana" w:hAnsi="Verdana" w:cs="Verdana"/>
        </w:rPr>
        <w:t>En consecuencia, la viabilidad económica queda supeditada a la estructuración previa de un mecanismo presupuestal que garantice la atención de eventuales contingencias arbitrales, sin que ello implique comprometer recursos inexistentes o asumir obligaciones sin respaldo presupuestal</w:t>
      </w:r>
      <w:r w:rsidR="11DB2782" w:rsidRPr="18F40C24">
        <w:rPr>
          <w:rFonts w:ascii="Verdana" w:eastAsia="Verdana" w:hAnsi="Verdana" w:cs="Verdana"/>
        </w:rPr>
        <w:t xml:space="preserve">, en armonía con el principio de legalidad del gasto público. </w:t>
      </w:r>
      <w:r w:rsidR="00D07827">
        <w:rPr>
          <w:rFonts w:ascii="Verdana" w:hAnsi="Verdana" w:cs="Arial"/>
          <w:lang w:eastAsia="es-ES"/>
        </w:rPr>
        <w:t>Finalmente</w:t>
      </w:r>
      <w:r w:rsidR="00371FD3">
        <w:rPr>
          <w:rFonts w:ascii="Verdana" w:hAnsi="Verdana" w:cs="Arial"/>
          <w:lang w:eastAsia="es-ES"/>
        </w:rPr>
        <w:t>, respecto</w:t>
      </w:r>
      <w:r w:rsidR="00AB779E">
        <w:rPr>
          <w:rFonts w:ascii="Verdana" w:hAnsi="Verdana" w:cs="Arial"/>
          <w:lang w:eastAsia="es-ES"/>
        </w:rPr>
        <w:t xml:space="preserve"> de</w:t>
      </w:r>
      <w:r w:rsidR="00DF6019">
        <w:rPr>
          <w:rFonts w:ascii="Verdana" w:hAnsi="Verdana" w:cs="Arial"/>
          <w:lang w:eastAsia="es-ES"/>
        </w:rPr>
        <w:t xml:space="preserve"> las gestiones No. 2 y 4</w:t>
      </w:r>
      <w:r w:rsidR="00A363B9">
        <w:rPr>
          <w:rFonts w:ascii="Verdana" w:hAnsi="Verdana" w:cs="Arial"/>
          <w:lang w:eastAsia="es-ES"/>
        </w:rPr>
        <w:t xml:space="preserve"> de la Tabla No. 2</w:t>
      </w:r>
      <w:r w:rsidR="00DF6019">
        <w:rPr>
          <w:rFonts w:ascii="Verdana" w:hAnsi="Verdana" w:cs="Arial"/>
          <w:lang w:eastAsia="es-ES"/>
        </w:rPr>
        <w:t>, al ser responsabilidad de otras dependencias y/o entidades, no pueden ser constatadas por la Oficina Asesora Jurídica, siendo de exclusiva responsabilidad de los actores indicados en la Tabla No. 2.</w:t>
      </w:r>
    </w:p>
    <w:p w14:paraId="730BD0BB" w14:textId="77777777" w:rsidR="006C0824" w:rsidRPr="006C0824" w:rsidRDefault="006C0824" w:rsidP="00A363B9">
      <w:pPr>
        <w:pStyle w:val="Prrafodelista"/>
        <w:numPr>
          <w:ilvl w:val="1"/>
          <w:numId w:val="46"/>
        </w:numPr>
        <w:spacing w:after="240" w:line="276" w:lineRule="auto"/>
        <w:jc w:val="both"/>
        <w:rPr>
          <w:rFonts w:ascii="Verdana" w:hAnsi="Verdana" w:cs="Arial"/>
          <w:b/>
          <w:bCs/>
          <w:lang w:eastAsia="es-ES"/>
        </w:rPr>
      </w:pPr>
      <w:r w:rsidRPr="006C0824">
        <w:rPr>
          <w:rFonts w:ascii="Verdana" w:hAnsi="Verdana" w:cs="Arial"/>
          <w:b/>
          <w:bCs/>
          <w:lang w:eastAsia="es-ES"/>
        </w:rPr>
        <w:t>Sobre la solicitud de concepto requerido por la Directiva Presidencial 05 de 2025, relativo a la conveniencia jurídica y económica de la cláusula compromisoria allí contenida.</w:t>
      </w:r>
    </w:p>
    <w:p w14:paraId="3A3BA87B" w14:textId="05FBE16F" w:rsidR="006C0824" w:rsidRPr="006C0824" w:rsidRDefault="00A11736" w:rsidP="006C0824">
      <w:pPr>
        <w:spacing w:after="240" w:line="276" w:lineRule="auto"/>
        <w:jc w:val="both"/>
        <w:rPr>
          <w:rFonts w:ascii="Verdana" w:hAnsi="Verdana" w:cs="Arial"/>
          <w:lang w:eastAsia="es-ES"/>
        </w:rPr>
      </w:pPr>
      <w:r>
        <w:rPr>
          <w:rFonts w:ascii="Verdana" w:hAnsi="Verdana" w:cs="Arial"/>
          <w:lang w:eastAsia="es-ES"/>
        </w:rPr>
        <w:t xml:space="preserve">Conforme a la explicación ofrecida en el anterior acápite, se solicita remitirse a las </w:t>
      </w:r>
      <w:r w:rsidRPr="00E70CE2">
        <w:rPr>
          <w:rFonts w:ascii="Verdana" w:hAnsi="Verdana" w:cs="Arial"/>
          <w:b/>
          <w:bCs/>
          <w:u w:val="single"/>
          <w:lang w:eastAsia="es-ES"/>
        </w:rPr>
        <w:t xml:space="preserve">páginas </w:t>
      </w:r>
      <w:r w:rsidR="00E70CE2" w:rsidRPr="00E70CE2">
        <w:rPr>
          <w:rFonts w:ascii="Verdana" w:hAnsi="Verdana" w:cs="Arial"/>
          <w:b/>
          <w:bCs/>
          <w:u w:val="single"/>
          <w:lang w:eastAsia="es-ES"/>
        </w:rPr>
        <w:t>2</w:t>
      </w:r>
      <w:r w:rsidR="0010553B">
        <w:rPr>
          <w:rFonts w:ascii="Verdana" w:hAnsi="Verdana" w:cs="Arial"/>
          <w:b/>
          <w:bCs/>
          <w:u w:val="single"/>
          <w:lang w:eastAsia="es-ES"/>
        </w:rPr>
        <w:t>6</w:t>
      </w:r>
      <w:r w:rsidR="00E70CE2" w:rsidRPr="00E70CE2">
        <w:rPr>
          <w:rFonts w:ascii="Verdana" w:hAnsi="Verdana" w:cs="Arial"/>
          <w:b/>
          <w:bCs/>
          <w:u w:val="single"/>
          <w:lang w:eastAsia="es-ES"/>
        </w:rPr>
        <w:t xml:space="preserve"> a </w:t>
      </w:r>
      <w:r w:rsidR="00D96E12">
        <w:rPr>
          <w:rFonts w:ascii="Verdana" w:hAnsi="Verdana" w:cs="Arial"/>
          <w:b/>
          <w:bCs/>
          <w:u w:val="single"/>
          <w:lang w:eastAsia="es-ES"/>
        </w:rPr>
        <w:t>50</w:t>
      </w:r>
      <w:r>
        <w:rPr>
          <w:rFonts w:ascii="Verdana" w:hAnsi="Verdana" w:cs="Arial"/>
          <w:lang w:eastAsia="es-ES"/>
        </w:rPr>
        <w:t>, que ofrecen la respuesta frente a este punto.</w:t>
      </w:r>
      <w:r w:rsidR="00371FD3">
        <w:rPr>
          <w:rFonts w:ascii="Verdana" w:hAnsi="Verdana" w:cs="Arial"/>
          <w:lang w:eastAsia="es-ES"/>
        </w:rPr>
        <w:t xml:space="preserve"> </w:t>
      </w:r>
    </w:p>
    <w:p w14:paraId="74EE212E" w14:textId="3A029981" w:rsidR="00A125F8" w:rsidRPr="00A11736" w:rsidRDefault="00A11736" w:rsidP="003969C1">
      <w:pPr>
        <w:spacing w:after="240" w:line="276" w:lineRule="auto"/>
        <w:jc w:val="both"/>
        <w:rPr>
          <w:rFonts w:ascii="Verdana" w:hAnsi="Verdana" w:cs="Arial"/>
          <w:bCs/>
          <w:lang w:val="es-ES_tradnl" w:eastAsia="es-ES"/>
        </w:rPr>
      </w:pPr>
      <w:r>
        <w:rPr>
          <w:rFonts w:ascii="Verdana" w:hAnsi="Verdana"/>
          <w:bCs/>
          <w:color w:val="000000"/>
          <w:lang w:val="es-ES_tradnl" w:eastAsia="es-ES"/>
        </w:rPr>
        <w:t xml:space="preserve">En estos términos se da </w:t>
      </w:r>
      <w:r w:rsidRPr="00E503EA">
        <w:rPr>
          <w:rFonts w:ascii="Verdana" w:hAnsi="Verdana"/>
          <w:bCs/>
          <w:color w:val="000000"/>
          <w:lang w:val="es-ES_tradnl" w:eastAsia="es-ES"/>
        </w:rPr>
        <w:t>respuesta a su solicitud, quedando atentos</w:t>
      </w:r>
      <w:r w:rsidR="00E503EA" w:rsidRPr="00E503EA">
        <w:rPr>
          <w:rFonts w:ascii="Verdana" w:hAnsi="Verdana"/>
          <w:bCs/>
          <w:color w:val="000000"/>
          <w:lang w:val="es-ES_tradnl" w:eastAsia="es-ES"/>
        </w:rPr>
        <w:t xml:space="preserve"> </w:t>
      </w:r>
      <w:r w:rsidR="00E503EA" w:rsidRPr="00554215">
        <w:rPr>
          <w:rFonts w:ascii="Verdana" w:hAnsi="Verdana"/>
        </w:rPr>
        <w:t>a cualquier aclaración adicional y a la coordinación interinstitucional que se requiera para la adecuada suscripción del instrumento.</w:t>
      </w:r>
    </w:p>
    <w:p w14:paraId="388EF2B7" w14:textId="77777777" w:rsidR="00554215" w:rsidRDefault="00E21221" w:rsidP="009F7B4E">
      <w:pPr>
        <w:spacing w:line="276" w:lineRule="auto"/>
        <w:jc w:val="both"/>
        <w:rPr>
          <w:rFonts w:ascii="Verdana" w:hAnsi="Verdana" w:cs="Arial"/>
          <w:bCs/>
          <w:lang w:val="es-ES_tradnl" w:eastAsia="es-ES"/>
        </w:rPr>
      </w:pPr>
      <w:r w:rsidRPr="00496322">
        <w:rPr>
          <w:rFonts w:ascii="Verdana" w:hAnsi="Verdana" w:cs="Arial"/>
          <w:bCs/>
          <w:lang w:val="es-ES_tradnl" w:eastAsia="es-ES"/>
        </w:rPr>
        <w:t>Cordialmente,</w:t>
      </w:r>
    </w:p>
    <w:p w14:paraId="6EA63242" w14:textId="77777777" w:rsidR="00554215" w:rsidRDefault="00554215" w:rsidP="009F7B4E">
      <w:pPr>
        <w:spacing w:line="276" w:lineRule="auto"/>
        <w:jc w:val="both"/>
        <w:rPr>
          <w:rFonts w:ascii="Verdana" w:hAnsi="Verdana" w:cs="Arial"/>
          <w:bCs/>
          <w:lang w:val="es-ES_tradnl" w:eastAsia="es-ES"/>
        </w:rPr>
      </w:pPr>
    </w:p>
    <w:p w14:paraId="35204073" w14:textId="77777777" w:rsidR="00554215" w:rsidRDefault="00554215" w:rsidP="009F7B4E">
      <w:pPr>
        <w:spacing w:line="276" w:lineRule="auto"/>
        <w:jc w:val="both"/>
        <w:rPr>
          <w:rFonts w:ascii="Verdana" w:hAnsi="Verdana" w:cs="Arial"/>
          <w:bCs/>
          <w:lang w:val="es-ES_tradnl" w:eastAsia="es-ES"/>
        </w:rPr>
      </w:pPr>
    </w:p>
    <w:p w14:paraId="2A7CFC25" w14:textId="31553CE4" w:rsidR="00096FC3" w:rsidRPr="00496322" w:rsidRDefault="00A11736" w:rsidP="009F7B4E">
      <w:pPr>
        <w:spacing w:line="276" w:lineRule="auto"/>
        <w:jc w:val="both"/>
        <w:rPr>
          <w:rFonts w:ascii="Verdana" w:hAnsi="Verdana" w:cs="Arial"/>
          <w:lang w:eastAsia="es-ES"/>
        </w:rPr>
      </w:pPr>
      <w:r w:rsidRPr="72B58CFD">
        <w:rPr>
          <w:rFonts w:ascii="Verdana" w:hAnsi="Verdana" w:cs="Arial"/>
          <w:b/>
          <w:bCs/>
          <w:lang w:eastAsia="es-ES"/>
        </w:rPr>
        <w:t xml:space="preserve">LAURA CAMILA </w:t>
      </w:r>
      <w:r w:rsidR="009F7B4E" w:rsidRPr="72B58CFD">
        <w:rPr>
          <w:rFonts w:ascii="Verdana" w:hAnsi="Verdana" w:cs="Arial"/>
          <w:b/>
          <w:bCs/>
          <w:lang w:eastAsia="es-ES"/>
        </w:rPr>
        <w:t>RAMO</w:t>
      </w:r>
      <w:r w:rsidR="00CB4EB9">
        <w:rPr>
          <w:rFonts w:ascii="Verdana" w:hAnsi="Verdana" w:cs="Arial"/>
          <w:b/>
          <w:bCs/>
          <w:lang w:eastAsia="es-ES"/>
        </w:rPr>
        <w:t>S</w:t>
      </w:r>
      <w:r w:rsidR="009F7B4E" w:rsidRPr="72B58CFD">
        <w:rPr>
          <w:rFonts w:ascii="Verdana" w:hAnsi="Verdana" w:cs="Arial"/>
          <w:b/>
          <w:bCs/>
          <w:lang w:eastAsia="es-ES"/>
        </w:rPr>
        <w:t xml:space="preserve"> DÍAZ</w:t>
      </w:r>
    </w:p>
    <w:p w14:paraId="775C3FAF" w14:textId="53077D5B" w:rsidR="00A76F9B" w:rsidRDefault="009F7B4E" w:rsidP="009F7B4E">
      <w:pPr>
        <w:spacing w:line="276" w:lineRule="auto"/>
        <w:jc w:val="both"/>
        <w:rPr>
          <w:rFonts w:ascii="Verdana" w:hAnsi="Verdana" w:cs="Arial"/>
          <w:lang w:eastAsia="es-ES"/>
        </w:rPr>
      </w:pPr>
      <w:r>
        <w:rPr>
          <w:rFonts w:ascii="Verdana" w:hAnsi="Verdana" w:cs="Arial"/>
          <w:lang w:eastAsia="es-ES"/>
        </w:rPr>
        <w:t>Jefe Oficina Asesora Jurídica</w:t>
      </w:r>
    </w:p>
    <w:p w14:paraId="3D82A267" w14:textId="77777777" w:rsidR="008305F2" w:rsidRDefault="008305F2" w:rsidP="00D96E12">
      <w:pPr>
        <w:spacing w:line="276" w:lineRule="auto"/>
        <w:jc w:val="both"/>
        <w:rPr>
          <w:rFonts w:ascii="Verdana" w:hAnsi="Verdana" w:cs="Arial"/>
          <w:color w:val="AEAAAA" w:themeColor="background2" w:themeShade="BF"/>
          <w:sz w:val="14"/>
          <w:szCs w:val="14"/>
          <w:lang w:eastAsia="es-ES"/>
        </w:rPr>
      </w:pPr>
    </w:p>
    <w:p w14:paraId="415318AD" w14:textId="77777777" w:rsidR="008305F2" w:rsidRPr="008305F2" w:rsidRDefault="008823D7" w:rsidP="00D96E12">
      <w:pPr>
        <w:spacing w:line="276" w:lineRule="auto"/>
        <w:jc w:val="both"/>
        <w:rPr>
          <w:rFonts w:ascii="Verdana" w:hAnsi="Verdana" w:cs="Arial"/>
          <w:color w:val="AEAAAA" w:themeColor="background2" w:themeShade="BF"/>
          <w:sz w:val="16"/>
          <w:szCs w:val="16"/>
          <w:lang w:eastAsia="es-ES"/>
        </w:rPr>
      </w:pPr>
      <w:r w:rsidRPr="008305F2">
        <w:rPr>
          <w:rFonts w:ascii="Verdana" w:hAnsi="Verdana" w:cs="Arial"/>
          <w:color w:val="AEAAAA" w:themeColor="background2" w:themeShade="BF"/>
          <w:sz w:val="16"/>
          <w:szCs w:val="16"/>
          <w:lang w:eastAsia="es-ES"/>
        </w:rPr>
        <w:t>Anexo</w:t>
      </w:r>
      <w:r w:rsidR="00B9122C" w:rsidRPr="008305F2">
        <w:rPr>
          <w:rFonts w:ascii="Verdana" w:hAnsi="Verdana" w:cs="Arial"/>
          <w:color w:val="AEAAAA" w:themeColor="background2" w:themeShade="BF"/>
          <w:sz w:val="16"/>
          <w:szCs w:val="16"/>
          <w:lang w:eastAsia="es-ES"/>
        </w:rPr>
        <w:t>s</w:t>
      </w:r>
      <w:r w:rsidRPr="008305F2">
        <w:rPr>
          <w:rFonts w:ascii="Verdana" w:hAnsi="Verdana" w:cs="Arial"/>
          <w:color w:val="AEAAAA" w:themeColor="background2" w:themeShade="BF"/>
          <w:sz w:val="16"/>
          <w:szCs w:val="16"/>
          <w:lang w:eastAsia="es-ES"/>
        </w:rPr>
        <w:t xml:space="preserve">: </w:t>
      </w:r>
    </w:p>
    <w:p w14:paraId="6CB24367" w14:textId="579D1C4A" w:rsidR="008823D7" w:rsidRPr="008305F2" w:rsidRDefault="00B9122C" w:rsidP="00D96E12">
      <w:pPr>
        <w:spacing w:line="276" w:lineRule="auto"/>
        <w:jc w:val="both"/>
        <w:rPr>
          <w:rFonts w:ascii="Verdana" w:hAnsi="Verdana" w:cs="Arial"/>
          <w:color w:val="AEAAAA" w:themeColor="background2" w:themeShade="BF"/>
          <w:sz w:val="16"/>
          <w:szCs w:val="16"/>
          <w:lang w:eastAsia="es-ES"/>
        </w:rPr>
      </w:pPr>
      <w:r w:rsidRPr="008305F2">
        <w:rPr>
          <w:rFonts w:ascii="Verdana" w:hAnsi="Verdana" w:cs="Arial"/>
          <w:color w:val="AEAAAA" w:themeColor="background2" w:themeShade="BF"/>
          <w:sz w:val="16"/>
          <w:szCs w:val="16"/>
          <w:lang w:eastAsia="es-ES"/>
        </w:rPr>
        <w:t xml:space="preserve">1. </w:t>
      </w:r>
      <w:r w:rsidR="008823D7" w:rsidRPr="008305F2">
        <w:rPr>
          <w:rFonts w:ascii="Verdana" w:hAnsi="Verdana" w:cs="Arial"/>
          <w:color w:val="AEAAAA" w:themeColor="background2" w:themeShade="BF"/>
          <w:sz w:val="16"/>
          <w:szCs w:val="16"/>
          <w:lang w:eastAsia="es-ES"/>
        </w:rPr>
        <w:t>Memorando 41002026E3004182 de la SAF sobre la solicitud de viabilidad financiera/económica</w:t>
      </w:r>
      <w:r w:rsidRPr="008305F2">
        <w:rPr>
          <w:rFonts w:ascii="Verdana" w:hAnsi="Verdana" w:cs="Arial"/>
          <w:color w:val="AEAAAA" w:themeColor="background2" w:themeShade="BF"/>
          <w:sz w:val="16"/>
          <w:szCs w:val="16"/>
          <w:lang w:eastAsia="es-ES"/>
        </w:rPr>
        <w:t>.</w:t>
      </w:r>
    </w:p>
    <w:p w14:paraId="796B3D5F" w14:textId="53A79D25" w:rsidR="00B9122C" w:rsidRPr="008305F2" w:rsidRDefault="00B9122C" w:rsidP="00B9122C">
      <w:pPr>
        <w:spacing w:line="276" w:lineRule="auto"/>
        <w:jc w:val="both"/>
        <w:rPr>
          <w:rFonts w:ascii="Verdana" w:hAnsi="Verdana" w:cs="Arial"/>
          <w:color w:val="AEAAAA" w:themeColor="background2" w:themeShade="BF"/>
          <w:sz w:val="16"/>
          <w:szCs w:val="16"/>
          <w:lang w:eastAsia="es-ES"/>
        </w:rPr>
      </w:pPr>
      <w:r w:rsidRPr="008305F2">
        <w:rPr>
          <w:rFonts w:ascii="Verdana" w:hAnsi="Verdana" w:cs="Arial"/>
          <w:color w:val="AEAAAA" w:themeColor="background2" w:themeShade="BF"/>
          <w:sz w:val="16"/>
          <w:szCs w:val="16"/>
          <w:lang w:eastAsia="es-ES"/>
        </w:rPr>
        <w:t>2.Memorando 32022026E3004411 de la DCCGR sobre la solicitud de confirmación de capacidad técnica.</w:t>
      </w:r>
    </w:p>
    <w:p w14:paraId="44775908" w14:textId="77777777" w:rsidR="008305F2" w:rsidRPr="008305F2" w:rsidRDefault="008305F2" w:rsidP="00B9122C">
      <w:pPr>
        <w:spacing w:line="276" w:lineRule="auto"/>
        <w:jc w:val="both"/>
        <w:rPr>
          <w:rFonts w:ascii="Verdana" w:hAnsi="Verdana" w:cs="Arial"/>
          <w:color w:val="AEAAAA" w:themeColor="background2" w:themeShade="BF"/>
          <w:sz w:val="16"/>
          <w:szCs w:val="16"/>
          <w:lang w:eastAsia="es-ES"/>
        </w:rPr>
      </w:pPr>
    </w:p>
    <w:p w14:paraId="62395951" w14:textId="39CC4650" w:rsidR="204F71A0" w:rsidRPr="008305F2" w:rsidRDefault="6628BFF6" w:rsidP="003969C1">
      <w:pPr>
        <w:spacing w:after="240" w:line="276" w:lineRule="auto"/>
        <w:jc w:val="both"/>
        <w:rPr>
          <w:rFonts w:ascii="Verdana" w:hAnsi="Verdana" w:cs="Arial"/>
          <w:color w:val="AEAAAA" w:themeColor="background2" w:themeShade="BF"/>
          <w:sz w:val="16"/>
          <w:szCs w:val="16"/>
          <w:lang w:eastAsia="es-ES"/>
        </w:rPr>
      </w:pPr>
      <w:r w:rsidRPr="008305F2">
        <w:rPr>
          <w:rFonts w:ascii="Verdana" w:hAnsi="Verdana" w:cs="Arial"/>
          <w:color w:val="AEAAAA" w:themeColor="background2" w:themeShade="BF"/>
          <w:sz w:val="16"/>
          <w:szCs w:val="16"/>
          <w:lang w:eastAsia="es-ES"/>
        </w:rPr>
        <w:t>Elaboró:</w:t>
      </w:r>
      <w:r w:rsidR="21E678F4" w:rsidRPr="008305F2">
        <w:rPr>
          <w:rFonts w:ascii="Verdana" w:hAnsi="Verdana" w:cs="Arial"/>
          <w:color w:val="AEAAAA" w:themeColor="background2" w:themeShade="BF"/>
          <w:sz w:val="16"/>
          <w:szCs w:val="16"/>
          <w:lang w:eastAsia="es-ES"/>
        </w:rPr>
        <w:t xml:space="preserve"> </w:t>
      </w:r>
      <w:r w:rsidRPr="008305F2">
        <w:rPr>
          <w:rFonts w:ascii="Verdana" w:hAnsi="Verdana" w:cs="Arial"/>
          <w:color w:val="AEAAAA" w:themeColor="background2" w:themeShade="BF"/>
          <w:sz w:val="16"/>
          <w:szCs w:val="16"/>
          <w:lang w:eastAsia="es-ES"/>
        </w:rPr>
        <w:t>Katherine Castro Londoño – Contratista GPJ/OAJ</w:t>
      </w:r>
    </w:p>
    <w:sectPr w:rsidR="204F71A0" w:rsidRPr="008305F2" w:rsidSect="00D97DD9">
      <w:headerReference w:type="even" r:id="rId16"/>
      <w:headerReference w:type="default" r:id="rId17"/>
      <w:footerReference w:type="even" r:id="rId18"/>
      <w:footerReference w:type="default" r:id="rId19"/>
      <w:headerReference w:type="first" r:id="rId20"/>
      <w:footerReference w:type="first" r:id="rId21"/>
      <w:pgSz w:w="12240" w:h="15840"/>
      <w:pgMar w:top="1794" w:right="1701" w:bottom="1890"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42D6D" w14:textId="77777777" w:rsidR="00E337C4" w:rsidRDefault="00E337C4" w:rsidP="00757B36">
      <w:r>
        <w:separator/>
      </w:r>
    </w:p>
  </w:endnote>
  <w:endnote w:type="continuationSeparator" w:id="0">
    <w:p w14:paraId="6A50EEA5" w14:textId="77777777" w:rsidR="00E337C4" w:rsidRDefault="00E337C4" w:rsidP="00757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CCB81" w14:textId="77777777" w:rsidR="00DE0A04" w:rsidRDefault="00DE0A0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572585"/>
      <w:docPartObj>
        <w:docPartGallery w:val="Page Numbers (Bottom of Page)"/>
        <w:docPartUnique/>
      </w:docPartObj>
    </w:sdtPr>
    <w:sdtEndPr>
      <w:rPr>
        <w:rFonts w:ascii="Verdana" w:hAnsi="Verdana"/>
        <w:sz w:val="18"/>
        <w:szCs w:val="18"/>
      </w:rPr>
    </w:sdtEndPr>
    <w:sdtContent>
      <w:p w14:paraId="795CDCB7" w14:textId="77777777" w:rsidR="0022254F" w:rsidRPr="00752E2F" w:rsidRDefault="00D34D20" w:rsidP="0022254F">
        <w:pPr>
          <w:pStyle w:val="Piedepgina"/>
          <w:jc w:val="right"/>
          <w:rPr>
            <w:rFonts w:ascii="Verdana" w:hAnsi="Verdana"/>
            <w:color w:val="000000"/>
            <w:sz w:val="18"/>
            <w:szCs w:val="18"/>
            <w:lang w:val="pt-PT"/>
          </w:rPr>
        </w:pPr>
        <w:r w:rsidRPr="00325C9F">
          <w:rPr>
            <w:rFonts w:ascii="Verdana" w:hAnsi="Verdana"/>
            <w:noProof/>
            <w:sz w:val="18"/>
            <w:szCs w:val="18"/>
            <w:lang w:val="en-US"/>
          </w:rPr>
          <mc:AlternateContent>
            <mc:Choice Requires="wps">
              <w:drawing>
                <wp:anchor distT="0" distB="0" distL="114300" distR="114300" simplePos="0" relativeHeight="251659264" behindDoc="0" locked="0" layoutInCell="1" allowOverlap="1" wp14:anchorId="7AE5F12B" wp14:editId="23F87D79">
                  <wp:simplePos x="0" y="0"/>
                  <wp:positionH relativeFrom="margin">
                    <wp:posOffset>-99060</wp:posOffset>
                  </wp:positionH>
                  <wp:positionV relativeFrom="paragraph">
                    <wp:posOffset>-252730</wp:posOffset>
                  </wp:positionV>
                  <wp:extent cx="5457825" cy="122999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5457825" cy="1229995"/>
                          </a:xfrm>
                          <a:prstGeom prst="rect">
                            <a:avLst/>
                          </a:prstGeom>
                          <a:noFill/>
                          <a:ln w="6350">
                            <a:noFill/>
                          </a:ln>
                        </wps:spPr>
                        <wps:txbx>
                          <w:txbxContent>
                            <w:p w14:paraId="79D92C5A" w14:textId="5628690E" w:rsidR="00D34D20" w:rsidRPr="00256928" w:rsidRDefault="00D34D20" w:rsidP="00D34D20">
                              <w:pPr>
                                <w:spacing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1B8765A5" w14:textId="4A83745E" w:rsidR="00D34D20" w:rsidRPr="00325C9F" w:rsidRDefault="00726A3B" w:rsidP="00D34D20">
                              <w:pPr>
                                <w:spacing w:line="276" w:lineRule="auto"/>
                                <w:jc w:val="both"/>
                                <w:rPr>
                                  <w:rFonts w:ascii="Verdana" w:hAnsi="Verdana"/>
                                  <w:b/>
                                  <w:bCs/>
                                  <w:sz w:val="18"/>
                                  <w:szCs w:val="18"/>
                                </w:rPr>
                              </w:pPr>
                              <w:r w:rsidRPr="00325C9F">
                                <w:rPr>
                                  <w:rFonts w:ascii="Verdana" w:hAnsi="Verdana"/>
                                  <w:b/>
                                  <w:bCs/>
                                  <w:sz w:val="18"/>
                                  <w:szCs w:val="18"/>
                                </w:rPr>
                                <w:t>Ministerio de Ambiente y Desarrollo Sostenible</w:t>
                              </w:r>
                            </w:p>
                            <w:p w14:paraId="3453229D" w14:textId="40C075EB" w:rsidR="00D34D20" w:rsidRPr="00325C9F" w:rsidRDefault="00D34D20" w:rsidP="00D34D20">
                              <w:pPr>
                                <w:spacing w:line="276" w:lineRule="auto"/>
                                <w:jc w:val="both"/>
                                <w:rPr>
                                  <w:rFonts w:ascii="Verdana" w:hAnsi="Verdana"/>
                                  <w:sz w:val="18"/>
                                  <w:szCs w:val="18"/>
                                </w:rPr>
                              </w:pPr>
                              <w:r w:rsidRPr="00325C9F">
                                <w:rPr>
                                  <w:rFonts w:ascii="Verdana" w:hAnsi="Verdana"/>
                                  <w:sz w:val="18"/>
                                  <w:szCs w:val="18"/>
                                </w:rPr>
                                <w:t xml:space="preserve">Dirección: </w:t>
                              </w:r>
                              <w:r w:rsidR="0022254F" w:rsidRPr="00325C9F">
                                <w:rPr>
                                  <w:rFonts w:ascii="Verdana" w:hAnsi="Verdana"/>
                                  <w:sz w:val="18"/>
                                  <w:szCs w:val="18"/>
                                </w:rPr>
                                <w:t xml:space="preserve">Calle 37 #8 - 40, Bogotá D.C., Colombia </w:t>
                              </w:r>
                            </w:p>
                            <w:p w14:paraId="7463B94C" w14:textId="49799333" w:rsidR="00D34D20" w:rsidRPr="00325C9F" w:rsidRDefault="00D34D20" w:rsidP="00D34D20">
                              <w:pPr>
                                <w:spacing w:line="276" w:lineRule="auto"/>
                                <w:jc w:val="both"/>
                                <w:rPr>
                                  <w:rFonts w:ascii="Verdana" w:hAnsi="Verdana"/>
                                  <w:sz w:val="18"/>
                                  <w:szCs w:val="18"/>
                                </w:rPr>
                              </w:pPr>
                              <w:r w:rsidRPr="00325C9F">
                                <w:rPr>
                                  <w:rFonts w:ascii="Verdana" w:hAnsi="Verdana"/>
                                  <w:sz w:val="18"/>
                                  <w:szCs w:val="18"/>
                                </w:rPr>
                                <w:t xml:space="preserve">Conmutador: (+57) </w:t>
                              </w:r>
                              <w:r w:rsidR="0022254F" w:rsidRPr="00325C9F">
                                <w:rPr>
                                  <w:rFonts w:ascii="Verdana" w:hAnsi="Verdana"/>
                                  <w:sz w:val="18"/>
                                  <w:szCs w:val="18"/>
                                </w:rPr>
                                <w:t xml:space="preserve">601 332 3400 - </w:t>
                              </w:r>
                              <w:bookmarkStart w:id="0" w:name="_Hlk173416767"/>
                              <w:r w:rsidR="0022254F" w:rsidRPr="00325C9F">
                                <w:rPr>
                                  <w:rFonts w:ascii="Verdana" w:hAnsi="Verdana"/>
                                  <w:sz w:val="18"/>
                                  <w:szCs w:val="18"/>
                                </w:rPr>
                                <w:t>31</w:t>
                              </w:r>
                              <w:r w:rsidR="00DE0A04" w:rsidRPr="00325C9F">
                                <w:rPr>
                                  <w:rFonts w:ascii="Verdana" w:hAnsi="Verdana"/>
                                  <w:sz w:val="18"/>
                                  <w:szCs w:val="18"/>
                                </w:rPr>
                                <w:t>33463676</w:t>
                              </w:r>
                              <w:bookmarkEnd w:id="0"/>
                            </w:p>
                            <w:p w14:paraId="3F743D65" w14:textId="03C32F22" w:rsidR="00D34D20" w:rsidRPr="00325C9F" w:rsidRDefault="00D34D20" w:rsidP="00256928">
                              <w:pPr>
                                <w:spacing w:line="276" w:lineRule="auto"/>
                                <w:jc w:val="both"/>
                                <w:rPr>
                                  <w:rFonts w:ascii="Verdana" w:hAnsi="Verdana"/>
                                  <w:sz w:val="18"/>
                                  <w:szCs w:val="18"/>
                                </w:rPr>
                              </w:pPr>
                              <w:r w:rsidRPr="00325C9F">
                                <w:rPr>
                                  <w:rFonts w:ascii="Verdana" w:hAnsi="Verdana"/>
                                  <w:sz w:val="18"/>
                                  <w:szCs w:val="18"/>
                                </w:rPr>
                                <w:t xml:space="preserve">Línea Gratuita: (+57) </w:t>
                              </w:r>
                              <w:r w:rsidR="009E28CB" w:rsidRPr="00325C9F">
                                <w:rPr>
                                  <w:rFonts w:ascii="Verdana" w:hAnsi="Verdana"/>
                                  <w:sz w:val="18"/>
                                  <w:szCs w:val="18"/>
                                </w:rPr>
                                <w:t>01 8000 919301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202" coordsize="21600,21600" o:spt="202" path="m,l,21600r21600,l21600,xe" w14:anchorId="7AE5F12B">
                  <v:stroke joinstyle="miter"/>
                  <v:path gradientshapeok="t" o:connecttype="rect"/>
                </v:shapetype>
                <v:shape id="Cuadro de texto 1" style="position:absolute;left:0;text-align:left;margin-left:-7.8pt;margin-top:-19.9pt;width:429.75pt;height:96.8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">
                  <v:textbox>
                    <w:txbxContent>
                      <w:p w:rsidRPr="00256928" w:rsidR="00D34D20" w:rsidP="00D34D20" w:rsidRDefault="00D34D20" w14:paraId="79D92C5A" w14:textId="5628690E">
                        <w:pPr>
                          <w:spacing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rsidRPr="00325C9F" w:rsidR="00D34D20" w:rsidP="00D34D20" w:rsidRDefault="00726A3B" w14:paraId="1B8765A5" w14:textId="4A83745E">
                        <w:pPr>
                          <w:spacing w:line="276" w:lineRule="auto"/>
                          <w:jc w:val="both"/>
                          <w:rPr>
                            <w:rFonts w:ascii="Verdana" w:hAnsi="Verdana"/>
                            <w:b/>
                            <w:bCs/>
                            <w:sz w:val="18"/>
                            <w:szCs w:val="18"/>
                          </w:rPr>
                        </w:pPr>
                        <w:r w:rsidRPr="00325C9F">
                          <w:rPr>
                            <w:rFonts w:ascii="Verdana" w:hAnsi="Verdana"/>
                            <w:b/>
                            <w:bCs/>
                            <w:sz w:val="18"/>
                            <w:szCs w:val="18"/>
                          </w:rPr>
                          <w:t>Ministerio de Ambiente y Desarrollo Sostenible</w:t>
                        </w:r>
                      </w:p>
                      <w:p w:rsidRPr="00325C9F" w:rsidR="00D34D20" w:rsidP="00D34D20" w:rsidRDefault="00D34D20" w14:paraId="3453229D" w14:textId="40C075EB">
                        <w:pPr>
                          <w:spacing w:line="276" w:lineRule="auto"/>
                          <w:jc w:val="both"/>
                          <w:rPr>
                            <w:rFonts w:ascii="Verdana" w:hAnsi="Verdana"/>
                            <w:sz w:val="18"/>
                            <w:szCs w:val="18"/>
                          </w:rPr>
                        </w:pPr>
                        <w:r w:rsidRPr="00325C9F">
                          <w:rPr>
                            <w:rFonts w:ascii="Verdana" w:hAnsi="Verdana"/>
                            <w:sz w:val="18"/>
                            <w:szCs w:val="18"/>
                          </w:rPr>
                          <w:t xml:space="preserve">Dirección: </w:t>
                        </w:r>
                        <w:r w:rsidRPr="00325C9F" w:rsidR="0022254F">
                          <w:rPr>
                            <w:rFonts w:ascii="Verdana" w:hAnsi="Verdana"/>
                            <w:sz w:val="18"/>
                            <w:szCs w:val="18"/>
                          </w:rPr>
                          <w:t xml:space="preserve">Calle 37 #8 - 40, Bogotá D.C., Colombia </w:t>
                        </w:r>
                      </w:p>
                      <w:p w:rsidRPr="00325C9F" w:rsidR="00D34D20" w:rsidP="00D34D20" w:rsidRDefault="00D34D20" w14:paraId="7463B94C" w14:textId="49799333">
                        <w:pPr>
                          <w:spacing w:line="276" w:lineRule="auto"/>
                          <w:jc w:val="both"/>
                          <w:rPr>
                            <w:rFonts w:ascii="Verdana" w:hAnsi="Verdana"/>
                            <w:sz w:val="18"/>
                            <w:szCs w:val="18"/>
                          </w:rPr>
                        </w:pPr>
                        <w:r w:rsidRPr="00325C9F">
                          <w:rPr>
                            <w:rFonts w:ascii="Verdana" w:hAnsi="Verdana"/>
                            <w:sz w:val="18"/>
                            <w:szCs w:val="18"/>
                          </w:rPr>
                          <w:t xml:space="preserve">Conmutador: (+57) </w:t>
                        </w:r>
                        <w:r w:rsidRPr="00325C9F" w:rsidR="0022254F">
                          <w:rPr>
                            <w:rFonts w:ascii="Verdana" w:hAnsi="Verdana"/>
                            <w:sz w:val="18"/>
                            <w:szCs w:val="18"/>
                          </w:rPr>
                          <w:t xml:space="preserve">601 332 3400 - </w:t>
                        </w:r>
                        <w:r w:rsidRPr="00325C9F" w:rsidR="0022254F">
                          <w:rPr>
                            <w:rFonts w:ascii="Verdana" w:hAnsi="Verdana"/>
                            <w:sz w:val="18"/>
                            <w:szCs w:val="18"/>
                          </w:rPr>
                          <w:t>31</w:t>
                        </w:r>
                        <w:r w:rsidRPr="00325C9F" w:rsidR="00DE0A04">
                          <w:rPr>
                            <w:rFonts w:ascii="Verdana" w:hAnsi="Verdana"/>
                            <w:sz w:val="18"/>
                            <w:szCs w:val="18"/>
                          </w:rPr>
                          <w:t>33463676</w:t>
                        </w:r>
                      </w:p>
                      <w:p w:rsidRPr="00325C9F" w:rsidR="00D34D20" w:rsidP="00256928" w:rsidRDefault="00D34D20" w14:paraId="3F743D65" w14:textId="03C32F22">
                        <w:pPr>
                          <w:spacing w:line="276" w:lineRule="auto"/>
                          <w:jc w:val="both"/>
                          <w:rPr>
                            <w:rFonts w:ascii="Verdana" w:hAnsi="Verdana"/>
                            <w:sz w:val="18"/>
                            <w:szCs w:val="18"/>
                          </w:rPr>
                        </w:pPr>
                        <w:r w:rsidRPr="00325C9F">
                          <w:rPr>
                            <w:rFonts w:ascii="Verdana" w:hAnsi="Verdana"/>
                            <w:sz w:val="18"/>
                            <w:szCs w:val="18"/>
                          </w:rPr>
                          <w:t xml:space="preserve">Línea Gratuita: (+57) </w:t>
                        </w:r>
                        <w:r w:rsidRPr="00325C9F" w:rsidR="009E28CB">
                          <w:rPr>
                            <w:rFonts w:ascii="Verdana" w:hAnsi="Verdana"/>
                            <w:sz w:val="18"/>
                            <w:szCs w:val="18"/>
                          </w:rPr>
                          <w:t>01 8000 919301</w:t>
                        </w:r>
                      </w:p>
                    </w:txbxContent>
                  </v:textbox>
                  <w10:wrap anchorx="margin"/>
                </v:shape>
              </w:pict>
            </mc:Fallback>
          </mc:AlternateContent>
        </w:r>
        <w:r w:rsidR="0022254F" w:rsidRPr="00752E2F">
          <w:rPr>
            <w:rFonts w:ascii="Verdana" w:hAnsi="Verdana"/>
            <w:color w:val="000000"/>
            <w:sz w:val="18"/>
            <w:szCs w:val="18"/>
            <w:lang w:val="pt-PT"/>
          </w:rPr>
          <w:t xml:space="preserve">Página </w:t>
        </w:r>
        <w:r w:rsidR="0022254F" w:rsidRPr="00325C9F">
          <w:rPr>
            <w:rFonts w:ascii="Verdana" w:hAnsi="Verdana"/>
            <w:color w:val="000000"/>
            <w:sz w:val="18"/>
            <w:szCs w:val="18"/>
          </w:rPr>
          <w:fldChar w:fldCharType="begin"/>
        </w:r>
        <w:r w:rsidR="0022254F" w:rsidRPr="00752E2F">
          <w:rPr>
            <w:rFonts w:ascii="Verdana" w:hAnsi="Verdana"/>
            <w:color w:val="000000"/>
            <w:sz w:val="18"/>
            <w:szCs w:val="18"/>
            <w:lang w:val="pt-PT"/>
          </w:rPr>
          <w:instrText>PAGE   \* MERGEFORMAT</w:instrText>
        </w:r>
        <w:r w:rsidR="0022254F" w:rsidRPr="00325C9F">
          <w:rPr>
            <w:rFonts w:ascii="Verdana" w:hAnsi="Verdana"/>
            <w:color w:val="000000"/>
            <w:sz w:val="18"/>
            <w:szCs w:val="18"/>
          </w:rPr>
          <w:fldChar w:fldCharType="separate"/>
        </w:r>
        <w:r w:rsidR="0022254F" w:rsidRPr="00752E2F">
          <w:rPr>
            <w:rFonts w:ascii="Verdana" w:hAnsi="Verdana"/>
            <w:color w:val="000000"/>
            <w:sz w:val="18"/>
            <w:szCs w:val="18"/>
            <w:lang w:val="pt-PT"/>
          </w:rPr>
          <w:t>2</w:t>
        </w:r>
        <w:r w:rsidR="0022254F" w:rsidRPr="00325C9F">
          <w:rPr>
            <w:rFonts w:ascii="Verdana" w:hAnsi="Verdana"/>
            <w:color w:val="000000"/>
            <w:sz w:val="18"/>
            <w:szCs w:val="18"/>
          </w:rPr>
          <w:fldChar w:fldCharType="end"/>
        </w:r>
        <w:r w:rsidR="0022254F" w:rsidRPr="00752E2F">
          <w:rPr>
            <w:rFonts w:ascii="Verdana" w:hAnsi="Verdana"/>
            <w:color w:val="000000"/>
            <w:sz w:val="18"/>
            <w:szCs w:val="18"/>
            <w:lang w:val="pt-PT"/>
          </w:rPr>
          <w:t xml:space="preserve"> | </w:t>
        </w:r>
        <w:r w:rsidR="0022254F" w:rsidRPr="00325C9F">
          <w:rPr>
            <w:rFonts w:ascii="Verdana" w:hAnsi="Verdana"/>
            <w:color w:val="000000"/>
            <w:sz w:val="18"/>
            <w:szCs w:val="18"/>
          </w:rPr>
          <w:fldChar w:fldCharType="begin"/>
        </w:r>
        <w:r w:rsidR="0022254F" w:rsidRPr="00752E2F">
          <w:rPr>
            <w:rFonts w:ascii="Verdana" w:hAnsi="Verdana"/>
            <w:color w:val="000000"/>
            <w:sz w:val="18"/>
            <w:szCs w:val="18"/>
            <w:lang w:val="pt-PT"/>
          </w:rPr>
          <w:instrText>NUMPAGES  \* Arabic  \* MERGEFORMAT</w:instrText>
        </w:r>
        <w:r w:rsidR="0022254F" w:rsidRPr="00325C9F">
          <w:rPr>
            <w:rFonts w:ascii="Verdana" w:hAnsi="Verdana"/>
            <w:color w:val="000000"/>
            <w:sz w:val="18"/>
            <w:szCs w:val="18"/>
          </w:rPr>
          <w:fldChar w:fldCharType="separate"/>
        </w:r>
        <w:r w:rsidR="0022254F" w:rsidRPr="00752E2F">
          <w:rPr>
            <w:rFonts w:ascii="Verdana" w:hAnsi="Verdana"/>
            <w:color w:val="000000"/>
            <w:sz w:val="18"/>
            <w:szCs w:val="18"/>
            <w:lang w:val="pt-PT"/>
          </w:rPr>
          <w:t>2</w:t>
        </w:r>
        <w:r w:rsidR="0022254F" w:rsidRPr="00325C9F">
          <w:rPr>
            <w:rFonts w:ascii="Verdana" w:hAnsi="Verdana"/>
            <w:color w:val="000000"/>
            <w:sz w:val="18"/>
            <w:szCs w:val="18"/>
          </w:rPr>
          <w:fldChar w:fldCharType="end"/>
        </w:r>
      </w:p>
      <w:p w14:paraId="2E27CAF7" w14:textId="77777777" w:rsidR="0022254F" w:rsidRPr="00752E2F" w:rsidRDefault="0022254F" w:rsidP="0022254F">
        <w:pPr>
          <w:pStyle w:val="Piedepgina"/>
          <w:jc w:val="right"/>
          <w:rPr>
            <w:rFonts w:ascii="Verdana" w:hAnsi="Verdana"/>
            <w:color w:val="000000"/>
            <w:sz w:val="18"/>
            <w:szCs w:val="18"/>
            <w:lang w:val="pt-PT"/>
          </w:rPr>
        </w:pPr>
      </w:p>
      <w:p w14:paraId="324BE145" w14:textId="69BA40DD" w:rsidR="00D34D20" w:rsidRPr="00752E2F" w:rsidRDefault="0022254F" w:rsidP="0022254F">
        <w:pPr>
          <w:pStyle w:val="Piedepgina"/>
          <w:jc w:val="right"/>
          <w:rPr>
            <w:rFonts w:ascii="Verdana" w:hAnsi="Verdana"/>
            <w:sz w:val="18"/>
            <w:szCs w:val="18"/>
            <w:lang w:val="pt-PT"/>
          </w:rPr>
        </w:pPr>
        <w:r w:rsidRPr="00752E2F">
          <w:rPr>
            <w:rFonts w:ascii="Verdana" w:hAnsi="Verdana"/>
            <w:sz w:val="18"/>
            <w:szCs w:val="18"/>
            <w:lang w:val="pt-PT"/>
          </w:rPr>
          <w:t>F-E-SIG-2</w:t>
        </w:r>
        <w:r w:rsidR="008A2B01" w:rsidRPr="00752E2F">
          <w:rPr>
            <w:rFonts w:ascii="Verdana" w:hAnsi="Verdana"/>
            <w:sz w:val="18"/>
            <w:szCs w:val="18"/>
            <w:lang w:val="pt-PT"/>
          </w:rPr>
          <w:t>3</w:t>
        </w:r>
        <w:r w:rsidRPr="00752E2F">
          <w:rPr>
            <w:rFonts w:ascii="Verdana" w:hAnsi="Verdana"/>
            <w:sz w:val="18"/>
            <w:szCs w:val="18"/>
            <w:lang w:val="pt-PT"/>
          </w:rPr>
          <w:t>:V</w:t>
        </w:r>
        <w:r w:rsidR="008A2B01" w:rsidRPr="00752E2F">
          <w:rPr>
            <w:rFonts w:ascii="Verdana" w:hAnsi="Verdana"/>
            <w:sz w:val="18"/>
            <w:szCs w:val="18"/>
            <w:lang w:val="pt-PT"/>
          </w:rPr>
          <w:t>8</w:t>
        </w:r>
        <w:r w:rsidRPr="00752E2F">
          <w:rPr>
            <w:rFonts w:ascii="Verdana" w:hAnsi="Verdana"/>
            <w:sz w:val="18"/>
            <w:szCs w:val="18"/>
            <w:lang w:val="pt-PT"/>
          </w:rPr>
          <w:t xml:space="preserve"> </w:t>
        </w:r>
        <w:bookmarkStart w:id="1" w:name="_Hlk173416803"/>
        <w:r w:rsidR="00325C9F" w:rsidRPr="00752E2F">
          <w:rPr>
            <w:rFonts w:ascii="Verdana" w:hAnsi="Verdana"/>
            <w:sz w:val="18"/>
            <w:szCs w:val="18"/>
            <w:lang w:val="pt-PT"/>
          </w:rPr>
          <w:t>02-08-</w:t>
        </w:r>
        <w:r w:rsidRPr="00752E2F">
          <w:rPr>
            <w:rFonts w:ascii="Verdana" w:hAnsi="Verdana"/>
            <w:sz w:val="18"/>
            <w:szCs w:val="18"/>
            <w:lang w:val="pt-PT"/>
          </w:rPr>
          <w:t>2024</w:t>
        </w:r>
      </w:p>
    </w:sdtContent>
  </w:sdt>
  <w:bookmarkEnd w:id="1" w:displacedByCustomXml="prev"/>
  <w:p w14:paraId="409F4B9A" w14:textId="79830460" w:rsidR="00D34D20" w:rsidRPr="00752E2F" w:rsidRDefault="00D34D20" w:rsidP="00D34D20">
    <w:pPr>
      <w:spacing w:line="276" w:lineRule="auto"/>
      <w:jc w:val="both"/>
      <w:rPr>
        <w:rFonts w:ascii="Helvetica" w:hAnsi="Helvetica"/>
        <w:lang w:val="pt-P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03254" w14:textId="77777777" w:rsidR="00DE0A04" w:rsidRDefault="00DE0A0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E10E0" w14:textId="77777777" w:rsidR="00E337C4" w:rsidRDefault="00E337C4" w:rsidP="00757B36">
      <w:r>
        <w:separator/>
      </w:r>
    </w:p>
  </w:footnote>
  <w:footnote w:type="continuationSeparator" w:id="0">
    <w:p w14:paraId="485C065B" w14:textId="77777777" w:rsidR="00E337C4" w:rsidRDefault="00E337C4" w:rsidP="00757B36">
      <w:r>
        <w:continuationSeparator/>
      </w:r>
    </w:p>
  </w:footnote>
  <w:footnote w:id="1">
    <w:p w14:paraId="662397F0" w14:textId="77777777" w:rsidR="004E2FD3" w:rsidRPr="004E2FD3" w:rsidRDefault="004E2FD3" w:rsidP="004E2FD3">
      <w:pPr>
        <w:pStyle w:val="Textonotapie"/>
        <w:jc w:val="both"/>
        <w:rPr>
          <w:lang w:val="es-ES_tradnl"/>
        </w:rPr>
      </w:pPr>
      <w:r>
        <w:rPr>
          <w:rStyle w:val="Refdenotaalpie"/>
        </w:rPr>
        <w:footnoteRef/>
      </w:r>
      <w:r>
        <w:t xml:space="preserve"> "Entidad del Programa" significa la Parte o Partes especificadas como tales en el ERPA y que han sido autorizado por el País Anfitrión, si corresponde, para implementar el Programa ISFL ER y entrar en el Acuerdo Marco ERPA y los respectivos Acuerdos de Fase ERPA con el Fiduciario;</w:t>
      </w:r>
    </w:p>
  </w:footnote>
  <w:footnote w:id="2">
    <w:p w14:paraId="3A49E438" w14:textId="281C0D34" w:rsidR="00AD7CE6" w:rsidRPr="00AD7CE6" w:rsidRDefault="00AD7CE6" w:rsidP="00AD7CE6">
      <w:pPr>
        <w:pStyle w:val="Textonotapie"/>
        <w:jc w:val="both"/>
        <w:rPr>
          <w:lang w:val="es-CO"/>
        </w:rPr>
      </w:pPr>
      <w:r>
        <w:rPr>
          <w:rStyle w:val="Refdenotaalpie"/>
        </w:rPr>
        <w:footnoteRef/>
      </w:r>
      <w:r>
        <w:t xml:space="preserve"> “</w:t>
      </w:r>
      <w:r w:rsidRPr="00AD7CE6">
        <w:rPr>
          <w:b/>
          <w:bCs/>
        </w:rPr>
        <w:t>Que el objeto del contrato esté directamente relacionado con las funciones misionales</w:t>
      </w:r>
      <w:r w:rsidRPr="00AD7CE6">
        <w:t xml:space="preserve">, para lo cual corresponderá a la Oficina Asesora Jurídica de cada entidad </w:t>
      </w:r>
      <w:r w:rsidRPr="00AD7CE6">
        <w:rPr>
          <w:b/>
          <w:bCs/>
          <w:i/>
          <w:iCs/>
        </w:rPr>
        <w:t>determinar si cuentan con capacidad y competencia para asumir los compromisos derivados del ERPA</w:t>
      </w:r>
      <w:r w:rsidRPr="00AD7CE6">
        <w:t>.</w:t>
      </w:r>
      <w:r>
        <w:t>”</w:t>
      </w:r>
    </w:p>
  </w:footnote>
  <w:footnote w:id="3">
    <w:p w14:paraId="569C3AB3" w14:textId="63BB77E4" w:rsidR="00FE55A5" w:rsidRPr="00FE55A5" w:rsidRDefault="00FE55A5" w:rsidP="00FE55A5">
      <w:pPr>
        <w:pStyle w:val="Textonotapie"/>
        <w:jc w:val="both"/>
        <w:rPr>
          <w:lang w:val="es-ES_tradnl"/>
        </w:rPr>
      </w:pPr>
      <w:r>
        <w:rPr>
          <w:rStyle w:val="Refdenotaalpie"/>
        </w:rPr>
        <w:footnoteRef/>
      </w:r>
      <w:r>
        <w:t xml:space="preserve"> </w:t>
      </w:r>
      <w:r w:rsidRPr="00FE55A5">
        <w:rPr>
          <w:i/>
          <w:iCs/>
        </w:rPr>
        <w:t>“El Fideicomisario y la Entidad del Programa reconocen irrevocablemente que la relación creada en virtud del Acuerdo Marco del ERPA, cualquier Acuerdo de Fase del ERPA y estas Condiciones Generales (incluyendo cualquier término implícito por ley) es de comprador y vendedor en condiciones de igualdad. Para evitar cualquier duda, las Partes acuerdan (y se han basado en el acuerdo) que no existen obligaciones fiduciarias entre sí en virtud del Acuerdo Marco del ERPA, cualquier Acuerdo de Fase del ERPA o estas Condiciones Generales, independientemente de cómo surjan.”</w:t>
      </w:r>
    </w:p>
  </w:footnote>
  <w:footnote w:id="4">
    <w:p w14:paraId="751A0926" w14:textId="108404FB" w:rsidR="00F55CAB" w:rsidRPr="00554215" w:rsidRDefault="00F55CAB" w:rsidP="00F55CAB">
      <w:pPr>
        <w:pStyle w:val="Textonotapie"/>
        <w:jc w:val="both"/>
        <w:rPr>
          <w:lang w:val="en-US"/>
        </w:rPr>
      </w:pPr>
      <w:r>
        <w:rPr>
          <w:rStyle w:val="Refdenotaalpie"/>
        </w:rPr>
        <w:footnoteRef/>
      </w:r>
      <w:r w:rsidRPr="00554215">
        <w:rPr>
          <w:lang w:val="en-US"/>
        </w:rPr>
        <w:t xml:space="preserve"> "Emission Reduction" or "ER" means one metric tonne of Carbon Dioxide Equivalent reduced, avoided, removed or sequestered within the ISFL ER Program Area under the ISFL ER Program below the Emissions Baseline, as measured, reported and Verified in accordance with the ER Monitoring Plan, the ISFL ER Program Requirements and the terms of the ERPA;</w:t>
      </w:r>
    </w:p>
  </w:footnote>
  <w:footnote w:id="5">
    <w:p w14:paraId="3DD6CFBC" w14:textId="77777777" w:rsidR="00DF69A5" w:rsidRPr="00554215" w:rsidRDefault="00DF69A5" w:rsidP="00152290">
      <w:pPr>
        <w:pStyle w:val="Textonotapie"/>
        <w:jc w:val="both"/>
        <w:rPr>
          <w:lang w:val="en-US"/>
        </w:rPr>
      </w:pPr>
      <w:r>
        <w:rPr>
          <w:rStyle w:val="Refdenotaalpie"/>
        </w:rPr>
        <w:footnoteRef/>
      </w:r>
      <w:r w:rsidRPr="00554215">
        <w:rPr>
          <w:lang w:val="en-US"/>
        </w:rPr>
        <w:t xml:space="preserve"> "Contract ERs" means ERs that have been generated and Verified under the ISFL ER Program within the ISFL ER Program Area and have been contracted for under the ERPA Framework Agreement and each ERPA Phase Agreement, as specified in the respective ERPA Phase Agreement;</w:t>
      </w:r>
    </w:p>
  </w:footnote>
  <w:footnote w:id="6">
    <w:p w14:paraId="11448278" w14:textId="22BEF22E" w:rsidR="00A64B57" w:rsidRPr="00A64B57" w:rsidRDefault="00A64B57" w:rsidP="00A64B57">
      <w:pPr>
        <w:pStyle w:val="Textonotapie"/>
        <w:jc w:val="both"/>
        <w:rPr>
          <w:lang w:val="es-ES_tradnl"/>
        </w:rPr>
      </w:pPr>
      <w:r>
        <w:rPr>
          <w:rStyle w:val="Refdenotaalpie"/>
        </w:rPr>
        <w:footnoteRef/>
      </w:r>
      <w:r>
        <w:t xml:space="preserve"> Memorando No. </w:t>
      </w:r>
      <w:r w:rsidRPr="00A64B57">
        <w:t>13002026E3001501</w:t>
      </w:r>
      <w:r>
        <w:t>, asunto: Consulta cláusula compromisoria – Vida Amazonía – Directiva Presidencial 5.</w:t>
      </w:r>
    </w:p>
  </w:footnote>
  <w:footnote w:id="7">
    <w:p w14:paraId="66EFFAD3" w14:textId="215375BC" w:rsidR="00262BA0" w:rsidRPr="00262BA0" w:rsidRDefault="00262BA0">
      <w:pPr>
        <w:pStyle w:val="Textonotapie"/>
        <w:rPr>
          <w:lang w:val="es-ES_tradnl"/>
        </w:rPr>
      </w:pPr>
      <w:r>
        <w:rPr>
          <w:rStyle w:val="Refdenotaalpie"/>
        </w:rPr>
        <w:footnoteRef/>
      </w:r>
      <w:r>
        <w:t xml:space="preserve"> </w:t>
      </w:r>
      <w:r w:rsidRPr="00262BA0">
        <w:t>Por medio de la cual se introducen medidas para la eficiencia y la transparencia en la Ley 80 de 1993 y se dictan otras disposiciones generales sobre la contratación con Recursos Públicos</w:t>
      </w:r>
      <w:r>
        <w:t>.</w:t>
      </w:r>
    </w:p>
  </w:footnote>
  <w:footnote w:id="8">
    <w:p w14:paraId="4C4B2827" w14:textId="72AA108F" w:rsidR="00F15098" w:rsidRPr="00554215" w:rsidRDefault="00F15098">
      <w:pPr>
        <w:pStyle w:val="Textonotapie"/>
        <w:rPr>
          <w:lang w:val="en-US"/>
        </w:rPr>
      </w:pPr>
      <w:r>
        <w:rPr>
          <w:rStyle w:val="Refdenotaalpie"/>
        </w:rPr>
        <w:footnoteRef/>
      </w:r>
      <w:r w:rsidRPr="00554215">
        <w:rPr>
          <w:lang w:val="en-US"/>
        </w:rPr>
        <w:t xml:space="preserve"> "Contract ERs" means ERs that have been generated and Verified under the ISFL ER Program within the ISFL ER Program Area and have been contracted for under the ERPA Framework Agreement and each ERPA Phase Agreement, as specified in the respective ERPA Phase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11948" w14:textId="77777777" w:rsidR="00DE0A04" w:rsidRDefault="00DE0A0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8CE25" w14:textId="77777777" w:rsidR="00757B36" w:rsidRDefault="00757B36">
    <w:pPr>
      <w:pStyle w:val="Encabezado"/>
    </w:pPr>
    <w:r>
      <w:rPr>
        <w:noProof/>
        <w:lang w:val="en-US"/>
      </w:rPr>
      <w:drawing>
        <wp:anchor distT="0" distB="0" distL="114300" distR="114300" simplePos="0" relativeHeight="251658240" behindDoc="1" locked="0" layoutInCell="1" allowOverlap="1" wp14:anchorId="4B676E97" wp14:editId="0F9E1938">
          <wp:simplePos x="0" y="0"/>
          <wp:positionH relativeFrom="page">
            <wp:posOffset>0</wp:posOffset>
          </wp:positionH>
          <wp:positionV relativeFrom="paragraph">
            <wp:posOffset>-449580</wp:posOffset>
          </wp:positionV>
          <wp:extent cx="7756896" cy="10051011"/>
          <wp:effectExtent l="0" t="0" r="0" b="0"/>
          <wp:wrapNone/>
          <wp:docPr id="544005996" name="Imagen 544005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36CDB" w14:textId="77777777" w:rsidR="00DE0A04" w:rsidRDefault="00DE0A0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008D3"/>
    <w:multiLevelType w:val="hybridMultilevel"/>
    <w:tmpl w:val="16AE6B0C"/>
    <w:lvl w:ilvl="0" w:tplc="0809000F">
      <w:start w:val="1"/>
      <w:numFmt w:val="decimal"/>
      <w:lvlText w:val="%1."/>
      <w:lvlJc w:val="left"/>
      <w:pPr>
        <w:ind w:left="720" w:hanging="360"/>
      </w:pPr>
      <w:rPr>
        <w:rFonts w:hint="default"/>
        <w:b w:val="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3947ABB"/>
    <w:multiLevelType w:val="hybridMultilevel"/>
    <w:tmpl w:val="5782A874"/>
    <w:lvl w:ilvl="0" w:tplc="F296F070">
      <w:start w:val="1"/>
      <w:numFmt w:val="decimal"/>
      <w:lvlText w:val="%1."/>
      <w:lvlJc w:val="left"/>
      <w:pPr>
        <w:ind w:left="720" w:hanging="360"/>
      </w:pPr>
      <w:rPr>
        <w:i w:val="0"/>
        <w:iCs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BE299C"/>
    <w:multiLevelType w:val="hybridMultilevel"/>
    <w:tmpl w:val="00E25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A83A4A"/>
    <w:multiLevelType w:val="hybridMultilevel"/>
    <w:tmpl w:val="C660F4BE"/>
    <w:lvl w:ilvl="0" w:tplc="040A0019">
      <w:start w:val="1"/>
      <w:numFmt w:val="lowerLetter"/>
      <w:lvlText w:val="%1."/>
      <w:lvlJc w:val="left"/>
      <w:pPr>
        <w:ind w:left="1440" w:hanging="360"/>
      </w:pPr>
    </w:lvl>
    <w:lvl w:ilvl="1" w:tplc="040A0019" w:tentative="1">
      <w:start w:val="1"/>
      <w:numFmt w:val="lowerLetter"/>
      <w:lvlText w:val="%2."/>
      <w:lvlJc w:val="left"/>
      <w:pPr>
        <w:ind w:left="2160" w:hanging="360"/>
      </w:pPr>
    </w:lvl>
    <w:lvl w:ilvl="2" w:tplc="040A001B" w:tentative="1">
      <w:start w:val="1"/>
      <w:numFmt w:val="lowerRoman"/>
      <w:lvlText w:val="%3."/>
      <w:lvlJc w:val="right"/>
      <w:pPr>
        <w:ind w:left="2880" w:hanging="180"/>
      </w:pPr>
    </w:lvl>
    <w:lvl w:ilvl="3" w:tplc="040A000F" w:tentative="1">
      <w:start w:val="1"/>
      <w:numFmt w:val="decimal"/>
      <w:lvlText w:val="%4."/>
      <w:lvlJc w:val="left"/>
      <w:pPr>
        <w:ind w:left="3600" w:hanging="360"/>
      </w:pPr>
    </w:lvl>
    <w:lvl w:ilvl="4" w:tplc="040A0019" w:tentative="1">
      <w:start w:val="1"/>
      <w:numFmt w:val="lowerLetter"/>
      <w:lvlText w:val="%5."/>
      <w:lvlJc w:val="left"/>
      <w:pPr>
        <w:ind w:left="4320" w:hanging="360"/>
      </w:pPr>
    </w:lvl>
    <w:lvl w:ilvl="5" w:tplc="040A001B" w:tentative="1">
      <w:start w:val="1"/>
      <w:numFmt w:val="lowerRoman"/>
      <w:lvlText w:val="%6."/>
      <w:lvlJc w:val="right"/>
      <w:pPr>
        <w:ind w:left="5040" w:hanging="180"/>
      </w:pPr>
    </w:lvl>
    <w:lvl w:ilvl="6" w:tplc="040A000F" w:tentative="1">
      <w:start w:val="1"/>
      <w:numFmt w:val="decimal"/>
      <w:lvlText w:val="%7."/>
      <w:lvlJc w:val="left"/>
      <w:pPr>
        <w:ind w:left="5760" w:hanging="360"/>
      </w:pPr>
    </w:lvl>
    <w:lvl w:ilvl="7" w:tplc="040A0019" w:tentative="1">
      <w:start w:val="1"/>
      <w:numFmt w:val="lowerLetter"/>
      <w:lvlText w:val="%8."/>
      <w:lvlJc w:val="left"/>
      <w:pPr>
        <w:ind w:left="6480" w:hanging="360"/>
      </w:pPr>
    </w:lvl>
    <w:lvl w:ilvl="8" w:tplc="040A001B" w:tentative="1">
      <w:start w:val="1"/>
      <w:numFmt w:val="lowerRoman"/>
      <w:lvlText w:val="%9."/>
      <w:lvlJc w:val="right"/>
      <w:pPr>
        <w:ind w:left="7200" w:hanging="180"/>
      </w:pPr>
    </w:lvl>
  </w:abstractNum>
  <w:abstractNum w:abstractNumId="5" w15:restartNumberingAfterBreak="0">
    <w:nsid w:val="091A6E45"/>
    <w:multiLevelType w:val="hybridMultilevel"/>
    <w:tmpl w:val="062031FE"/>
    <w:lvl w:ilvl="0" w:tplc="3F2021DA">
      <w:start w:val="43"/>
      <w:numFmt w:val="bullet"/>
      <w:lvlText w:val="-"/>
      <w:lvlJc w:val="left"/>
      <w:pPr>
        <w:ind w:left="720" w:hanging="360"/>
      </w:pPr>
      <w:rPr>
        <w:rFonts w:ascii="Century Gothic" w:eastAsia="Times New Roman" w:hAnsi="Century Gothic"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CB68ED"/>
    <w:multiLevelType w:val="hybridMultilevel"/>
    <w:tmpl w:val="FAFADB5C"/>
    <w:lvl w:ilvl="0" w:tplc="72442EE2">
      <w:start w:val="1437"/>
      <w:numFmt w:val="bullet"/>
      <w:lvlText w:val="-"/>
      <w:lvlJc w:val="left"/>
      <w:pPr>
        <w:ind w:left="720" w:hanging="360"/>
      </w:pPr>
      <w:rPr>
        <w:rFonts w:ascii="Verdana" w:eastAsia="Times New Roman" w:hAnsi="Verdana"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0659D0"/>
    <w:multiLevelType w:val="hybridMultilevel"/>
    <w:tmpl w:val="0D7476BA"/>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8" w15:restartNumberingAfterBreak="0">
    <w:nsid w:val="14ED7840"/>
    <w:multiLevelType w:val="hybridMultilevel"/>
    <w:tmpl w:val="379492F6"/>
    <w:lvl w:ilvl="0" w:tplc="CF021B78">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9" w15:restartNumberingAfterBreak="0">
    <w:nsid w:val="19377DD5"/>
    <w:multiLevelType w:val="hybridMultilevel"/>
    <w:tmpl w:val="3F2264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9626EFD"/>
    <w:multiLevelType w:val="hybridMultilevel"/>
    <w:tmpl w:val="D60AC416"/>
    <w:lvl w:ilvl="0" w:tplc="040A000F">
      <w:start w:val="1"/>
      <w:numFmt w:val="decimal"/>
      <w:lvlText w:val="%1."/>
      <w:lvlJc w:val="left"/>
      <w:pPr>
        <w:ind w:left="720" w:hanging="360"/>
      </w:pPr>
      <w:rPr>
        <w:rFonts w:hint="default"/>
      </w:rPr>
    </w:lvl>
    <w:lvl w:ilvl="1" w:tplc="040A0019">
      <w:start w:val="1"/>
      <w:numFmt w:val="lowerLetter"/>
      <w:lvlText w:val="%2."/>
      <w:lvlJc w:val="left"/>
      <w:pPr>
        <w:ind w:left="1440" w:hanging="360"/>
      </w:pPr>
    </w:lvl>
    <w:lvl w:ilvl="2" w:tplc="FCDE8608">
      <w:start w:val="1"/>
      <w:numFmt w:val="lowerRoman"/>
      <w:lvlText w:val="(%3)"/>
      <w:lvlJc w:val="left"/>
      <w:pPr>
        <w:ind w:left="3060" w:hanging="1080"/>
      </w:pPr>
      <w:rPr>
        <w:rFonts w:hint="default"/>
      </w:r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1" w15:restartNumberingAfterBreak="0">
    <w:nsid w:val="1B83196F"/>
    <w:multiLevelType w:val="hybridMultilevel"/>
    <w:tmpl w:val="445628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2E43E03"/>
    <w:multiLevelType w:val="hybridMultilevel"/>
    <w:tmpl w:val="BADE6C24"/>
    <w:lvl w:ilvl="0" w:tplc="040A0001">
      <w:start w:val="1"/>
      <w:numFmt w:val="bullet"/>
      <w:lvlText w:val=""/>
      <w:lvlJc w:val="left"/>
      <w:pPr>
        <w:ind w:left="720" w:hanging="360"/>
      </w:pPr>
      <w:rPr>
        <w:rFonts w:ascii="Symbol" w:hAnsi="Symbol"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3" w15:restartNumberingAfterBreak="0">
    <w:nsid w:val="23B4625F"/>
    <w:multiLevelType w:val="hybridMultilevel"/>
    <w:tmpl w:val="ACEC562C"/>
    <w:lvl w:ilvl="0" w:tplc="F296F070">
      <w:start w:val="1"/>
      <w:numFmt w:val="decimal"/>
      <w:lvlText w:val="%1."/>
      <w:lvlJc w:val="left"/>
      <w:pPr>
        <w:ind w:left="720" w:hanging="360"/>
      </w:pPr>
      <w:rPr>
        <w:i w:val="0"/>
        <w:iCs w:val="0"/>
      </w:rPr>
    </w:lvl>
    <w:lvl w:ilvl="1" w:tplc="699CE1FC">
      <w:start w:val="1"/>
      <w:numFmt w:val="lowerLetter"/>
      <w:lvlText w:val="%2."/>
      <w:lvlJc w:val="left"/>
      <w:pPr>
        <w:ind w:left="1440" w:hanging="360"/>
      </w:pPr>
      <w:rPr>
        <w:b/>
        <w:bCs w:val="0"/>
        <w:i w:val="0"/>
        <w:iCs w:val="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5459402"/>
    <w:multiLevelType w:val="hybridMultilevel"/>
    <w:tmpl w:val="9052FE94"/>
    <w:lvl w:ilvl="0" w:tplc="0BC6199A">
      <w:start w:val="1"/>
      <w:numFmt w:val="bullet"/>
      <w:lvlText w:val=""/>
      <w:lvlJc w:val="left"/>
      <w:pPr>
        <w:ind w:left="720" w:hanging="360"/>
      </w:pPr>
      <w:rPr>
        <w:rFonts w:ascii="Wingdings" w:hAnsi="Wingdings" w:hint="default"/>
      </w:rPr>
    </w:lvl>
    <w:lvl w:ilvl="1" w:tplc="6BE0EAEA">
      <w:start w:val="1"/>
      <w:numFmt w:val="bullet"/>
      <w:lvlText w:val="o"/>
      <w:lvlJc w:val="left"/>
      <w:pPr>
        <w:ind w:left="1440" w:hanging="360"/>
      </w:pPr>
      <w:rPr>
        <w:rFonts w:ascii="Courier New" w:hAnsi="Courier New" w:hint="default"/>
      </w:rPr>
    </w:lvl>
    <w:lvl w:ilvl="2" w:tplc="9E908E1E">
      <w:start w:val="1"/>
      <w:numFmt w:val="bullet"/>
      <w:lvlText w:val=""/>
      <w:lvlJc w:val="left"/>
      <w:pPr>
        <w:ind w:left="2160" w:hanging="360"/>
      </w:pPr>
      <w:rPr>
        <w:rFonts w:ascii="Wingdings" w:hAnsi="Wingdings" w:hint="default"/>
      </w:rPr>
    </w:lvl>
    <w:lvl w:ilvl="3" w:tplc="B9B4DA38">
      <w:start w:val="1"/>
      <w:numFmt w:val="bullet"/>
      <w:lvlText w:val=""/>
      <w:lvlJc w:val="left"/>
      <w:pPr>
        <w:ind w:left="2880" w:hanging="360"/>
      </w:pPr>
      <w:rPr>
        <w:rFonts w:ascii="Symbol" w:hAnsi="Symbol" w:hint="default"/>
      </w:rPr>
    </w:lvl>
    <w:lvl w:ilvl="4" w:tplc="2B42C8EC">
      <w:start w:val="1"/>
      <w:numFmt w:val="bullet"/>
      <w:lvlText w:val="o"/>
      <w:lvlJc w:val="left"/>
      <w:pPr>
        <w:ind w:left="3600" w:hanging="360"/>
      </w:pPr>
      <w:rPr>
        <w:rFonts w:ascii="Courier New" w:hAnsi="Courier New" w:hint="default"/>
      </w:rPr>
    </w:lvl>
    <w:lvl w:ilvl="5" w:tplc="84E26082">
      <w:start w:val="1"/>
      <w:numFmt w:val="bullet"/>
      <w:lvlText w:val=""/>
      <w:lvlJc w:val="left"/>
      <w:pPr>
        <w:ind w:left="4320" w:hanging="360"/>
      </w:pPr>
      <w:rPr>
        <w:rFonts w:ascii="Wingdings" w:hAnsi="Wingdings" w:hint="default"/>
      </w:rPr>
    </w:lvl>
    <w:lvl w:ilvl="6" w:tplc="C6A689C2">
      <w:start w:val="1"/>
      <w:numFmt w:val="bullet"/>
      <w:lvlText w:val=""/>
      <w:lvlJc w:val="left"/>
      <w:pPr>
        <w:ind w:left="5040" w:hanging="360"/>
      </w:pPr>
      <w:rPr>
        <w:rFonts w:ascii="Symbol" w:hAnsi="Symbol" w:hint="default"/>
      </w:rPr>
    </w:lvl>
    <w:lvl w:ilvl="7" w:tplc="394ECA9E">
      <w:start w:val="1"/>
      <w:numFmt w:val="bullet"/>
      <w:lvlText w:val="o"/>
      <w:lvlJc w:val="left"/>
      <w:pPr>
        <w:ind w:left="5760" w:hanging="360"/>
      </w:pPr>
      <w:rPr>
        <w:rFonts w:ascii="Courier New" w:hAnsi="Courier New" w:hint="default"/>
      </w:rPr>
    </w:lvl>
    <w:lvl w:ilvl="8" w:tplc="CE1A3E94">
      <w:start w:val="1"/>
      <w:numFmt w:val="bullet"/>
      <w:lvlText w:val=""/>
      <w:lvlJc w:val="left"/>
      <w:pPr>
        <w:ind w:left="6480" w:hanging="360"/>
      </w:pPr>
      <w:rPr>
        <w:rFonts w:ascii="Wingdings" w:hAnsi="Wingdings" w:hint="default"/>
      </w:rPr>
    </w:lvl>
  </w:abstractNum>
  <w:abstractNum w:abstractNumId="15" w15:restartNumberingAfterBreak="0">
    <w:nsid w:val="294C01EA"/>
    <w:multiLevelType w:val="hybridMultilevel"/>
    <w:tmpl w:val="ED905438"/>
    <w:lvl w:ilvl="0" w:tplc="FFFFFFFF">
      <w:start w:val="1"/>
      <w:numFmt w:val="decimal"/>
      <w:lvlText w:val="%1."/>
      <w:lvlJc w:val="left"/>
      <w:pPr>
        <w:ind w:left="720" w:hanging="360"/>
      </w:pPr>
      <w:rPr>
        <w:rFonts w:hint="default"/>
        <w:b/>
      </w:rPr>
    </w:lvl>
    <w:lvl w:ilvl="1" w:tplc="FFFFFFFF">
      <w:start w:val="1"/>
      <w:numFmt w:val="lowerLetter"/>
      <w:lvlText w:val="%2."/>
      <w:lvlJc w:val="left"/>
      <w:pPr>
        <w:ind w:left="1440" w:hanging="360"/>
      </w:pPr>
    </w:lvl>
    <w:lvl w:ilvl="2" w:tplc="FFFFFFFF">
      <w:start w:val="1"/>
      <w:numFmt w:val="lowerRoman"/>
      <w:lvlText w:val="(%3)"/>
      <w:lvlJc w:val="left"/>
      <w:pPr>
        <w:ind w:left="3060" w:hanging="108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9530159"/>
    <w:multiLevelType w:val="hybridMultilevel"/>
    <w:tmpl w:val="905EE98A"/>
    <w:lvl w:ilvl="0" w:tplc="F13C0DBE">
      <w:start w:val="1"/>
      <w:numFmt w:val="upperRoman"/>
      <w:lvlText w:val="%1."/>
      <w:lvlJc w:val="right"/>
      <w:pPr>
        <w:ind w:left="800" w:hanging="360"/>
      </w:pPr>
      <w:rPr>
        <w:i w:val="0"/>
        <w:iCs w:val="0"/>
      </w:rPr>
    </w:lvl>
    <w:lvl w:ilvl="1" w:tplc="040A0019">
      <w:start w:val="1"/>
      <w:numFmt w:val="lowerLetter"/>
      <w:lvlText w:val="%2."/>
      <w:lvlJc w:val="left"/>
      <w:pPr>
        <w:ind w:left="1520" w:hanging="360"/>
      </w:pPr>
    </w:lvl>
    <w:lvl w:ilvl="2" w:tplc="040A001B" w:tentative="1">
      <w:start w:val="1"/>
      <w:numFmt w:val="lowerRoman"/>
      <w:lvlText w:val="%3."/>
      <w:lvlJc w:val="right"/>
      <w:pPr>
        <w:ind w:left="2240" w:hanging="180"/>
      </w:pPr>
    </w:lvl>
    <w:lvl w:ilvl="3" w:tplc="040A000F" w:tentative="1">
      <w:start w:val="1"/>
      <w:numFmt w:val="decimal"/>
      <w:lvlText w:val="%4."/>
      <w:lvlJc w:val="left"/>
      <w:pPr>
        <w:ind w:left="2960" w:hanging="360"/>
      </w:pPr>
    </w:lvl>
    <w:lvl w:ilvl="4" w:tplc="040A0019" w:tentative="1">
      <w:start w:val="1"/>
      <w:numFmt w:val="lowerLetter"/>
      <w:lvlText w:val="%5."/>
      <w:lvlJc w:val="left"/>
      <w:pPr>
        <w:ind w:left="3680" w:hanging="360"/>
      </w:pPr>
    </w:lvl>
    <w:lvl w:ilvl="5" w:tplc="040A001B" w:tentative="1">
      <w:start w:val="1"/>
      <w:numFmt w:val="lowerRoman"/>
      <w:lvlText w:val="%6."/>
      <w:lvlJc w:val="right"/>
      <w:pPr>
        <w:ind w:left="4400" w:hanging="180"/>
      </w:pPr>
    </w:lvl>
    <w:lvl w:ilvl="6" w:tplc="040A000F" w:tentative="1">
      <w:start w:val="1"/>
      <w:numFmt w:val="decimal"/>
      <w:lvlText w:val="%7."/>
      <w:lvlJc w:val="left"/>
      <w:pPr>
        <w:ind w:left="5120" w:hanging="360"/>
      </w:pPr>
    </w:lvl>
    <w:lvl w:ilvl="7" w:tplc="040A0019" w:tentative="1">
      <w:start w:val="1"/>
      <w:numFmt w:val="lowerLetter"/>
      <w:lvlText w:val="%8."/>
      <w:lvlJc w:val="left"/>
      <w:pPr>
        <w:ind w:left="5840" w:hanging="360"/>
      </w:pPr>
    </w:lvl>
    <w:lvl w:ilvl="8" w:tplc="040A001B" w:tentative="1">
      <w:start w:val="1"/>
      <w:numFmt w:val="lowerRoman"/>
      <w:lvlText w:val="%9."/>
      <w:lvlJc w:val="right"/>
      <w:pPr>
        <w:ind w:left="6560" w:hanging="180"/>
      </w:pPr>
    </w:lvl>
  </w:abstractNum>
  <w:abstractNum w:abstractNumId="17" w15:restartNumberingAfterBreak="0">
    <w:nsid w:val="2BCB4D6E"/>
    <w:multiLevelType w:val="hybridMultilevel"/>
    <w:tmpl w:val="800E12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EC57FDD"/>
    <w:multiLevelType w:val="hybridMultilevel"/>
    <w:tmpl w:val="C3FAF86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2EED7C64"/>
    <w:multiLevelType w:val="hybridMultilevel"/>
    <w:tmpl w:val="9BCECDC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27A3EBE"/>
    <w:multiLevelType w:val="hybridMultilevel"/>
    <w:tmpl w:val="16EA5408"/>
    <w:lvl w:ilvl="0" w:tplc="040A000F">
      <w:start w:val="1"/>
      <w:numFmt w:val="decimal"/>
      <w:lvlText w:val="%1."/>
      <w:lvlJc w:val="left"/>
      <w:pPr>
        <w:ind w:left="720" w:hanging="360"/>
      </w:pPr>
      <w:rPr>
        <w:rFonts w:hint="default"/>
      </w:r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1" w15:restartNumberingAfterBreak="0">
    <w:nsid w:val="32935E38"/>
    <w:multiLevelType w:val="multilevel"/>
    <w:tmpl w:val="89E47B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6FE66D7"/>
    <w:multiLevelType w:val="hybridMultilevel"/>
    <w:tmpl w:val="2BE450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7847187"/>
    <w:multiLevelType w:val="hybridMultilevel"/>
    <w:tmpl w:val="7690FABE"/>
    <w:lvl w:ilvl="0" w:tplc="129AFE5C">
      <w:start w:val="1"/>
      <w:numFmt w:val="decimal"/>
      <w:lvlText w:val="%1."/>
      <w:lvlJc w:val="left"/>
      <w:pPr>
        <w:ind w:left="720" w:hanging="360"/>
      </w:pPr>
      <w:rPr>
        <w:b/>
        <w:bCs/>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7CB2650"/>
    <w:multiLevelType w:val="hybridMultilevel"/>
    <w:tmpl w:val="EA86BC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454EB6"/>
    <w:multiLevelType w:val="hybridMultilevel"/>
    <w:tmpl w:val="6E30A40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5A43C0"/>
    <w:multiLevelType w:val="hybridMultilevel"/>
    <w:tmpl w:val="D100AD76"/>
    <w:lvl w:ilvl="0" w:tplc="040A000F">
      <w:start w:val="1"/>
      <w:numFmt w:val="decimal"/>
      <w:lvlText w:val="%1."/>
      <w:lvlJc w:val="left"/>
      <w:pPr>
        <w:ind w:left="720" w:hanging="360"/>
      </w:pPr>
      <w:rPr>
        <w:rFont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7" w15:restartNumberingAfterBreak="0">
    <w:nsid w:val="40E43D25"/>
    <w:multiLevelType w:val="hybridMultilevel"/>
    <w:tmpl w:val="C82480F4"/>
    <w:lvl w:ilvl="0" w:tplc="1B980000">
      <w:start w:val="1"/>
      <w:numFmt w:val="bullet"/>
      <w:lvlText w:val="-"/>
      <w:lvlJc w:val="left"/>
      <w:pPr>
        <w:ind w:left="720" w:hanging="360"/>
      </w:pPr>
      <w:rPr>
        <w:rFonts w:ascii="Aptos" w:hAnsi="Apto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8" w15:restartNumberingAfterBreak="0">
    <w:nsid w:val="418845D3"/>
    <w:multiLevelType w:val="hybridMultilevel"/>
    <w:tmpl w:val="95961E2A"/>
    <w:lvl w:ilvl="0" w:tplc="040A0011">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9" w15:restartNumberingAfterBreak="0">
    <w:nsid w:val="49F32E41"/>
    <w:multiLevelType w:val="hybridMultilevel"/>
    <w:tmpl w:val="FF8C3DE2"/>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0" w15:restartNumberingAfterBreak="0">
    <w:nsid w:val="4A9F043D"/>
    <w:multiLevelType w:val="hybridMultilevel"/>
    <w:tmpl w:val="8BA47D52"/>
    <w:lvl w:ilvl="0" w:tplc="16369108">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1" w15:restartNumberingAfterBreak="0">
    <w:nsid w:val="4AAB3A19"/>
    <w:multiLevelType w:val="hybridMultilevel"/>
    <w:tmpl w:val="585ADA06"/>
    <w:lvl w:ilvl="0" w:tplc="91CA91C4">
      <w:start w:val="1"/>
      <w:numFmt w:val="decimal"/>
      <w:lvlText w:val="%1."/>
      <w:lvlJc w:val="left"/>
      <w:pPr>
        <w:ind w:left="720" w:hanging="360"/>
      </w:pPr>
      <w:rPr>
        <w:rFonts w:hint="default"/>
        <w:i w:val="0"/>
        <w:i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1A0352C"/>
    <w:multiLevelType w:val="hybridMultilevel"/>
    <w:tmpl w:val="4670A88E"/>
    <w:lvl w:ilvl="0" w:tplc="2F38F232">
      <w:start w:val="1"/>
      <w:numFmt w:val="decimal"/>
      <w:lvlText w:val="%1."/>
      <w:lvlJc w:val="left"/>
      <w:pPr>
        <w:ind w:left="720" w:hanging="360"/>
      </w:pPr>
      <w:rPr>
        <w:rFonts w:hint="default"/>
        <w:b/>
      </w:rPr>
    </w:lvl>
    <w:lvl w:ilvl="1" w:tplc="040A0019">
      <w:start w:val="1"/>
      <w:numFmt w:val="lowerLetter"/>
      <w:lvlText w:val="%2."/>
      <w:lvlJc w:val="left"/>
      <w:pPr>
        <w:ind w:left="1440" w:hanging="360"/>
      </w:pPr>
    </w:lvl>
    <w:lvl w:ilvl="2" w:tplc="6ADC19BC">
      <w:start w:val="1"/>
      <w:numFmt w:val="lowerRoman"/>
      <w:lvlText w:val="(%3)"/>
      <w:lvlJc w:val="left"/>
      <w:pPr>
        <w:ind w:left="3060" w:hanging="1080"/>
      </w:pPr>
      <w:rPr>
        <w:rFonts w:hint="default"/>
      </w:r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3" w15:restartNumberingAfterBreak="0">
    <w:nsid w:val="52AA0BB2"/>
    <w:multiLevelType w:val="multilevel"/>
    <w:tmpl w:val="CAD285A8"/>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61B2498"/>
    <w:multiLevelType w:val="hybridMultilevel"/>
    <w:tmpl w:val="4B78A19E"/>
    <w:lvl w:ilvl="0" w:tplc="040A0019">
      <w:start w:val="1"/>
      <w:numFmt w:val="lowerLetter"/>
      <w:lvlText w:val="%1."/>
      <w:lvlJc w:val="left"/>
      <w:pPr>
        <w:ind w:left="1440" w:hanging="360"/>
      </w:pPr>
    </w:lvl>
    <w:lvl w:ilvl="1" w:tplc="040A0019" w:tentative="1">
      <w:start w:val="1"/>
      <w:numFmt w:val="lowerLetter"/>
      <w:lvlText w:val="%2."/>
      <w:lvlJc w:val="left"/>
      <w:pPr>
        <w:ind w:left="2160" w:hanging="360"/>
      </w:pPr>
    </w:lvl>
    <w:lvl w:ilvl="2" w:tplc="040A001B" w:tentative="1">
      <w:start w:val="1"/>
      <w:numFmt w:val="lowerRoman"/>
      <w:lvlText w:val="%3."/>
      <w:lvlJc w:val="right"/>
      <w:pPr>
        <w:ind w:left="2880" w:hanging="180"/>
      </w:pPr>
    </w:lvl>
    <w:lvl w:ilvl="3" w:tplc="040A000F" w:tentative="1">
      <w:start w:val="1"/>
      <w:numFmt w:val="decimal"/>
      <w:lvlText w:val="%4."/>
      <w:lvlJc w:val="left"/>
      <w:pPr>
        <w:ind w:left="3600" w:hanging="360"/>
      </w:pPr>
    </w:lvl>
    <w:lvl w:ilvl="4" w:tplc="040A0019" w:tentative="1">
      <w:start w:val="1"/>
      <w:numFmt w:val="lowerLetter"/>
      <w:lvlText w:val="%5."/>
      <w:lvlJc w:val="left"/>
      <w:pPr>
        <w:ind w:left="4320" w:hanging="360"/>
      </w:pPr>
    </w:lvl>
    <w:lvl w:ilvl="5" w:tplc="040A001B" w:tentative="1">
      <w:start w:val="1"/>
      <w:numFmt w:val="lowerRoman"/>
      <w:lvlText w:val="%6."/>
      <w:lvlJc w:val="right"/>
      <w:pPr>
        <w:ind w:left="5040" w:hanging="180"/>
      </w:pPr>
    </w:lvl>
    <w:lvl w:ilvl="6" w:tplc="040A000F" w:tentative="1">
      <w:start w:val="1"/>
      <w:numFmt w:val="decimal"/>
      <w:lvlText w:val="%7."/>
      <w:lvlJc w:val="left"/>
      <w:pPr>
        <w:ind w:left="5760" w:hanging="360"/>
      </w:pPr>
    </w:lvl>
    <w:lvl w:ilvl="7" w:tplc="040A0019" w:tentative="1">
      <w:start w:val="1"/>
      <w:numFmt w:val="lowerLetter"/>
      <w:lvlText w:val="%8."/>
      <w:lvlJc w:val="left"/>
      <w:pPr>
        <w:ind w:left="6480" w:hanging="360"/>
      </w:pPr>
    </w:lvl>
    <w:lvl w:ilvl="8" w:tplc="040A001B" w:tentative="1">
      <w:start w:val="1"/>
      <w:numFmt w:val="lowerRoman"/>
      <w:lvlText w:val="%9."/>
      <w:lvlJc w:val="right"/>
      <w:pPr>
        <w:ind w:left="7200" w:hanging="180"/>
      </w:pPr>
    </w:lvl>
  </w:abstractNum>
  <w:abstractNum w:abstractNumId="35" w15:restartNumberingAfterBreak="0">
    <w:nsid w:val="57B50DCA"/>
    <w:multiLevelType w:val="hybridMultilevel"/>
    <w:tmpl w:val="2F509826"/>
    <w:lvl w:ilvl="0" w:tplc="6F625E6E">
      <w:start w:val="1"/>
      <w:numFmt w:val="lowerRoman"/>
      <w:lvlText w:val="(%1)"/>
      <w:lvlJc w:val="left"/>
      <w:pPr>
        <w:ind w:left="1080" w:hanging="720"/>
      </w:pPr>
      <w:rPr>
        <w:rFonts w:ascii="Calibri" w:hAnsi="Calibri" w:cs="Calibri" w:hint="default"/>
        <w:color w:val="212121"/>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6" w15:restartNumberingAfterBreak="0">
    <w:nsid w:val="5A9F4052"/>
    <w:multiLevelType w:val="multilevel"/>
    <w:tmpl w:val="AE1AC2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AEA02DB"/>
    <w:multiLevelType w:val="multilevel"/>
    <w:tmpl w:val="51940B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C033965"/>
    <w:multiLevelType w:val="hybridMultilevel"/>
    <w:tmpl w:val="DDC0D362"/>
    <w:lvl w:ilvl="0" w:tplc="E3000D26">
      <w:start w:val="1"/>
      <w:numFmt w:val="decimal"/>
      <w:lvlText w:val="%1."/>
      <w:lvlJc w:val="left"/>
      <w:pPr>
        <w:ind w:left="720" w:hanging="360"/>
      </w:pPr>
      <w:rPr>
        <w:rFonts w:hint="default"/>
        <w:b/>
        <w:u w:val="single"/>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9" w15:restartNumberingAfterBreak="0">
    <w:nsid w:val="601396F8"/>
    <w:multiLevelType w:val="hybridMultilevel"/>
    <w:tmpl w:val="88106006"/>
    <w:lvl w:ilvl="0" w:tplc="1B980000">
      <w:start w:val="1"/>
      <w:numFmt w:val="bullet"/>
      <w:lvlText w:val="-"/>
      <w:lvlJc w:val="left"/>
      <w:pPr>
        <w:ind w:left="720" w:hanging="360"/>
      </w:pPr>
      <w:rPr>
        <w:rFonts w:ascii="Aptos" w:hAnsi="Aptos" w:hint="default"/>
      </w:rPr>
    </w:lvl>
    <w:lvl w:ilvl="1" w:tplc="5F387BB6">
      <w:start w:val="1"/>
      <w:numFmt w:val="bullet"/>
      <w:lvlText w:val="o"/>
      <w:lvlJc w:val="left"/>
      <w:pPr>
        <w:ind w:left="1440" w:hanging="360"/>
      </w:pPr>
      <w:rPr>
        <w:rFonts w:ascii="Courier New" w:hAnsi="Courier New" w:hint="default"/>
      </w:rPr>
    </w:lvl>
    <w:lvl w:ilvl="2" w:tplc="879293A6">
      <w:start w:val="1"/>
      <w:numFmt w:val="bullet"/>
      <w:lvlText w:val=""/>
      <w:lvlJc w:val="left"/>
      <w:pPr>
        <w:ind w:left="2160" w:hanging="360"/>
      </w:pPr>
      <w:rPr>
        <w:rFonts w:ascii="Wingdings" w:hAnsi="Wingdings" w:hint="default"/>
      </w:rPr>
    </w:lvl>
    <w:lvl w:ilvl="3" w:tplc="EC286E18">
      <w:start w:val="1"/>
      <w:numFmt w:val="bullet"/>
      <w:lvlText w:val=""/>
      <w:lvlJc w:val="left"/>
      <w:pPr>
        <w:ind w:left="2880" w:hanging="360"/>
      </w:pPr>
      <w:rPr>
        <w:rFonts w:ascii="Symbol" w:hAnsi="Symbol" w:hint="default"/>
      </w:rPr>
    </w:lvl>
    <w:lvl w:ilvl="4" w:tplc="2154181E">
      <w:start w:val="1"/>
      <w:numFmt w:val="bullet"/>
      <w:lvlText w:val="o"/>
      <w:lvlJc w:val="left"/>
      <w:pPr>
        <w:ind w:left="3600" w:hanging="360"/>
      </w:pPr>
      <w:rPr>
        <w:rFonts w:ascii="Courier New" w:hAnsi="Courier New" w:hint="default"/>
      </w:rPr>
    </w:lvl>
    <w:lvl w:ilvl="5" w:tplc="C0563E02">
      <w:start w:val="1"/>
      <w:numFmt w:val="bullet"/>
      <w:lvlText w:val=""/>
      <w:lvlJc w:val="left"/>
      <w:pPr>
        <w:ind w:left="4320" w:hanging="360"/>
      </w:pPr>
      <w:rPr>
        <w:rFonts w:ascii="Wingdings" w:hAnsi="Wingdings" w:hint="default"/>
      </w:rPr>
    </w:lvl>
    <w:lvl w:ilvl="6" w:tplc="3B2C95BC">
      <w:start w:val="1"/>
      <w:numFmt w:val="bullet"/>
      <w:lvlText w:val=""/>
      <w:lvlJc w:val="left"/>
      <w:pPr>
        <w:ind w:left="5040" w:hanging="360"/>
      </w:pPr>
      <w:rPr>
        <w:rFonts w:ascii="Symbol" w:hAnsi="Symbol" w:hint="default"/>
      </w:rPr>
    </w:lvl>
    <w:lvl w:ilvl="7" w:tplc="FAAA1662">
      <w:start w:val="1"/>
      <w:numFmt w:val="bullet"/>
      <w:lvlText w:val="o"/>
      <w:lvlJc w:val="left"/>
      <w:pPr>
        <w:ind w:left="5760" w:hanging="360"/>
      </w:pPr>
      <w:rPr>
        <w:rFonts w:ascii="Courier New" w:hAnsi="Courier New" w:hint="default"/>
      </w:rPr>
    </w:lvl>
    <w:lvl w:ilvl="8" w:tplc="F520983C">
      <w:start w:val="1"/>
      <w:numFmt w:val="bullet"/>
      <w:lvlText w:val=""/>
      <w:lvlJc w:val="left"/>
      <w:pPr>
        <w:ind w:left="6480" w:hanging="360"/>
      </w:pPr>
      <w:rPr>
        <w:rFonts w:ascii="Wingdings" w:hAnsi="Wingdings" w:hint="default"/>
      </w:rPr>
    </w:lvl>
  </w:abstractNum>
  <w:abstractNum w:abstractNumId="40" w15:restartNumberingAfterBreak="0">
    <w:nsid w:val="60C81728"/>
    <w:multiLevelType w:val="hybridMultilevel"/>
    <w:tmpl w:val="00E25AEA"/>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1" w15:restartNumberingAfterBreak="0">
    <w:nsid w:val="63AD1D11"/>
    <w:multiLevelType w:val="hybridMultilevel"/>
    <w:tmpl w:val="EE7A78EE"/>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4B0792E"/>
    <w:multiLevelType w:val="hybridMultilevel"/>
    <w:tmpl w:val="4DCAAA50"/>
    <w:lvl w:ilvl="0" w:tplc="499EBA36">
      <w:start w:val="1"/>
      <w:numFmt w:val="decimal"/>
      <w:lvlText w:val="%1."/>
      <w:lvlJc w:val="left"/>
      <w:pPr>
        <w:ind w:left="720" w:hanging="360"/>
      </w:pPr>
      <w:rPr>
        <w:rFonts w:cs="Arial MT" w:hint="default"/>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3" w15:restartNumberingAfterBreak="0">
    <w:nsid w:val="67BD1DD2"/>
    <w:multiLevelType w:val="hybridMultilevel"/>
    <w:tmpl w:val="9BBC08E8"/>
    <w:lvl w:ilvl="0" w:tplc="6A6AC70C">
      <w:start w:val="1"/>
      <w:numFmt w:val="decimal"/>
      <w:lvlText w:val="%1."/>
      <w:lvlJc w:val="left"/>
      <w:pPr>
        <w:ind w:left="720" w:hanging="360"/>
      </w:pPr>
      <w:rPr>
        <w:rFonts w:cs="Arial" w:hint="default"/>
        <w:color w:val="auto"/>
      </w:r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4" w15:restartNumberingAfterBreak="0">
    <w:nsid w:val="6914792D"/>
    <w:multiLevelType w:val="hybridMultilevel"/>
    <w:tmpl w:val="C0A40490"/>
    <w:lvl w:ilvl="0" w:tplc="1ED64E64">
      <w:start w:val="1"/>
      <w:numFmt w:val="bullet"/>
      <w:lvlText w:val="-"/>
      <w:lvlJc w:val="left"/>
      <w:pPr>
        <w:ind w:left="720" w:hanging="360"/>
      </w:pPr>
      <w:rPr>
        <w:rFonts w:ascii="Verdana" w:eastAsia="Times New Roman" w:hAnsi="Verdana"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A0F01EE"/>
    <w:multiLevelType w:val="hybridMultilevel"/>
    <w:tmpl w:val="8F10BBCC"/>
    <w:lvl w:ilvl="0" w:tplc="08090001">
      <w:start w:val="1"/>
      <w:numFmt w:val="bullet"/>
      <w:lvlText w:val=""/>
      <w:lvlJc w:val="left"/>
      <w:pPr>
        <w:ind w:left="720" w:hanging="360"/>
      </w:pPr>
      <w:rPr>
        <w:rFonts w:ascii="Symbol" w:hAnsi="Symbol" w:hint="default"/>
      </w:rPr>
    </w:lvl>
    <w:lvl w:ilvl="1" w:tplc="040A0003">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6" w15:restartNumberingAfterBreak="0">
    <w:nsid w:val="6C4C64CE"/>
    <w:multiLevelType w:val="multilevel"/>
    <w:tmpl w:val="00C6E7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CF30264"/>
    <w:multiLevelType w:val="hybridMultilevel"/>
    <w:tmpl w:val="C17664D6"/>
    <w:lvl w:ilvl="0" w:tplc="040A000F">
      <w:start w:val="1"/>
      <w:numFmt w:val="decimal"/>
      <w:lvlText w:val="%1."/>
      <w:lvlJc w:val="left"/>
      <w:pPr>
        <w:ind w:left="720" w:hanging="360"/>
      </w:pPr>
      <w:rPr>
        <w:rFonts w:hint="default"/>
      </w:rPr>
    </w:lvl>
    <w:lvl w:ilvl="1" w:tplc="040A0003">
      <w:start w:val="1"/>
      <w:numFmt w:val="bullet"/>
      <w:lvlText w:val="o"/>
      <w:lvlJc w:val="left"/>
      <w:pPr>
        <w:ind w:left="1440" w:hanging="360"/>
      </w:pPr>
      <w:rPr>
        <w:rFonts w:ascii="Courier New" w:hAnsi="Courier New" w:cs="Courier New" w:hint="default"/>
      </w:rPr>
    </w:lvl>
    <w:lvl w:ilvl="2" w:tplc="040A0005">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8" w15:restartNumberingAfterBreak="0">
    <w:nsid w:val="70954E60"/>
    <w:multiLevelType w:val="hybridMultilevel"/>
    <w:tmpl w:val="0C36B2B2"/>
    <w:lvl w:ilvl="0" w:tplc="219E2C3A">
      <w:start w:val="1"/>
      <w:numFmt w:val="bullet"/>
      <w:lvlText w:val="-"/>
      <w:lvlJc w:val="left"/>
      <w:pPr>
        <w:ind w:left="720" w:hanging="360"/>
      </w:pPr>
      <w:rPr>
        <w:rFonts w:ascii="Verdana" w:eastAsia="Times New Roman" w:hAnsi="Verdana"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9" w15:restartNumberingAfterBreak="0">
    <w:nsid w:val="72BA2722"/>
    <w:multiLevelType w:val="hybridMultilevel"/>
    <w:tmpl w:val="F7E48648"/>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0" w15:restartNumberingAfterBreak="0">
    <w:nsid w:val="72FD270C"/>
    <w:multiLevelType w:val="hybridMultilevel"/>
    <w:tmpl w:val="E66EBE44"/>
    <w:lvl w:ilvl="0" w:tplc="040A0001">
      <w:start w:val="1"/>
      <w:numFmt w:val="bullet"/>
      <w:lvlText w:val=""/>
      <w:lvlJc w:val="left"/>
      <w:pPr>
        <w:ind w:left="720" w:hanging="360"/>
      </w:pPr>
      <w:rPr>
        <w:rFonts w:ascii="Symbol" w:hAnsi="Symbol"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1" w15:restartNumberingAfterBreak="0">
    <w:nsid w:val="730C7107"/>
    <w:multiLevelType w:val="hybridMultilevel"/>
    <w:tmpl w:val="4F421950"/>
    <w:lvl w:ilvl="0" w:tplc="82824E24">
      <w:start w:val="1"/>
      <w:numFmt w:val="lowerRoman"/>
      <w:lvlText w:val="(%1)"/>
      <w:lvlJc w:val="left"/>
      <w:pPr>
        <w:ind w:left="1788" w:hanging="1080"/>
      </w:pPr>
      <w:rPr>
        <w:rFonts w:ascii="Calibri" w:eastAsia="Times New Roman" w:hAnsi="Calibri" w:cs="Calibri"/>
      </w:rPr>
    </w:lvl>
    <w:lvl w:ilvl="1" w:tplc="040A0019" w:tentative="1">
      <w:start w:val="1"/>
      <w:numFmt w:val="lowerLetter"/>
      <w:lvlText w:val="%2."/>
      <w:lvlJc w:val="left"/>
      <w:pPr>
        <w:ind w:left="1788" w:hanging="360"/>
      </w:pPr>
    </w:lvl>
    <w:lvl w:ilvl="2" w:tplc="040A001B" w:tentative="1">
      <w:start w:val="1"/>
      <w:numFmt w:val="lowerRoman"/>
      <w:lvlText w:val="%3."/>
      <w:lvlJc w:val="right"/>
      <w:pPr>
        <w:ind w:left="2508" w:hanging="180"/>
      </w:pPr>
    </w:lvl>
    <w:lvl w:ilvl="3" w:tplc="040A000F" w:tentative="1">
      <w:start w:val="1"/>
      <w:numFmt w:val="decimal"/>
      <w:lvlText w:val="%4."/>
      <w:lvlJc w:val="left"/>
      <w:pPr>
        <w:ind w:left="3228" w:hanging="360"/>
      </w:pPr>
    </w:lvl>
    <w:lvl w:ilvl="4" w:tplc="040A0019" w:tentative="1">
      <w:start w:val="1"/>
      <w:numFmt w:val="lowerLetter"/>
      <w:lvlText w:val="%5."/>
      <w:lvlJc w:val="left"/>
      <w:pPr>
        <w:ind w:left="3948" w:hanging="360"/>
      </w:pPr>
    </w:lvl>
    <w:lvl w:ilvl="5" w:tplc="040A001B" w:tentative="1">
      <w:start w:val="1"/>
      <w:numFmt w:val="lowerRoman"/>
      <w:lvlText w:val="%6."/>
      <w:lvlJc w:val="right"/>
      <w:pPr>
        <w:ind w:left="4668" w:hanging="180"/>
      </w:pPr>
    </w:lvl>
    <w:lvl w:ilvl="6" w:tplc="040A000F" w:tentative="1">
      <w:start w:val="1"/>
      <w:numFmt w:val="decimal"/>
      <w:lvlText w:val="%7."/>
      <w:lvlJc w:val="left"/>
      <w:pPr>
        <w:ind w:left="5388" w:hanging="360"/>
      </w:pPr>
    </w:lvl>
    <w:lvl w:ilvl="7" w:tplc="040A0019" w:tentative="1">
      <w:start w:val="1"/>
      <w:numFmt w:val="lowerLetter"/>
      <w:lvlText w:val="%8."/>
      <w:lvlJc w:val="left"/>
      <w:pPr>
        <w:ind w:left="6108" w:hanging="360"/>
      </w:pPr>
    </w:lvl>
    <w:lvl w:ilvl="8" w:tplc="040A001B" w:tentative="1">
      <w:start w:val="1"/>
      <w:numFmt w:val="lowerRoman"/>
      <w:lvlText w:val="%9."/>
      <w:lvlJc w:val="right"/>
      <w:pPr>
        <w:ind w:left="6828" w:hanging="180"/>
      </w:pPr>
    </w:lvl>
  </w:abstractNum>
  <w:abstractNum w:abstractNumId="52" w15:restartNumberingAfterBreak="0">
    <w:nsid w:val="73277167"/>
    <w:multiLevelType w:val="hybridMultilevel"/>
    <w:tmpl w:val="8A30BD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3412936">
    <w:abstractNumId w:val="39"/>
  </w:num>
  <w:num w:numId="2" w16cid:durableId="1079523284">
    <w:abstractNumId w:val="14"/>
  </w:num>
  <w:num w:numId="3" w16cid:durableId="514349185">
    <w:abstractNumId w:val="1"/>
  </w:num>
  <w:num w:numId="4" w16cid:durableId="1472944">
    <w:abstractNumId w:val="5"/>
  </w:num>
  <w:num w:numId="5" w16cid:durableId="934097780">
    <w:abstractNumId w:val="18"/>
  </w:num>
  <w:num w:numId="6" w16cid:durableId="1378627270">
    <w:abstractNumId w:val="17"/>
  </w:num>
  <w:num w:numId="7" w16cid:durableId="1481192168">
    <w:abstractNumId w:val="9"/>
  </w:num>
  <w:num w:numId="8" w16cid:durableId="1278559429">
    <w:abstractNumId w:val="41"/>
  </w:num>
  <w:num w:numId="9" w16cid:durableId="327245002">
    <w:abstractNumId w:val="52"/>
  </w:num>
  <w:num w:numId="10" w16cid:durableId="247270514">
    <w:abstractNumId w:val="11"/>
  </w:num>
  <w:num w:numId="11" w16cid:durableId="292756469">
    <w:abstractNumId w:val="46"/>
  </w:num>
  <w:num w:numId="12" w16cid:durableId="826095468">
    <w:abstractNumId w:val="36"/>
  </w:num>
  <w:num w:numId="13" w16cid:durableId="553352282">
    <w:abstractNumId w:val="33"/>
  </w:num>
  <w:num w:numId="14" w16cid:durableId="1898856578">
    <w:abstractNumId w:val="0"/>
  </w:num>
  <w:num w:numId="15" w16cid:durableId="1182433091">
    <w:abstractNumId w:val="44"/>
  </w:num>
  <w:num w:numId="16" w16cid:durableId="726758148">
    <w:abstractNumId w:val="25"/>
  </w:num>
  <w:num w:numId="17" w16cid:durableId="1255434714">
    <w:abstractNumId w:val="22"/>
  </w:num>
  <w:num w:numId="18" w16cid:durableId="513693779">
    <w:abstractNumId w:val="24"/>
  </w:num>
  <w:num w:numId="19" w16cid:durableId="1277758028">
    <w:abstractNumId w:val="6"/>
  </w:num>
  <w:num w:numId="20" w16cid:durableId="1670592576">
    <w:abstractNumId w:val="13"/>
  </w:num>
  <w:num w:numId="21" w16cid:durableId="86998567">
    <w:abstractNumId w:val="2"/>
  </w:num>
  <w:num w:numId="22" w16cid:durableId="8411760">
    <w:abstractNumId w:val="28"/>
  </w:num>
  <w:num w:numId="23" w16cid:durableId="1789742441">
    <w:abstractNumId w:val="20"/>
  </w:num>
  <w:num w:numId="24" w16cid:durableId="401484526">
    <w:abstractNumId w:val="42"/>
  </w:num>
  <w:num w:numId="25" w16cid:durableId="1147361490">
    <w:abstractNumId w:val="43"/>
  </w:num>
  <w:num w:numId="26" w16cid:durableId="997610520">
    <w:abstractNumId w:val="45"/>
  </w:num>
  <w:num w:numId="27" w16cid:durableId="379717701">
    <w:abstractNumId w:val="8"/>
  </w:num>
  <w:num w:numId="28" w16cid:durableId="1736076692">
    <w:abstractNumId w:val="30"/>
  </w:num>
  <w:num w:numId="29" w16cid:durableId="314725104">
    <w:abstractNumId w:val="7"/>
  </w:num>
  <w:num w:numId="30" w16cid:durableId="464470531">
    <w:abstractNumId w:val="23"/>
  </w:num>
  <w:num w:numId="31" w16cid:durableId="706296935">
    <w:abstractNumId w:val="49"/>
  </w:num>
  <w:num w:numId="32" w16cid:durableId="415248577">
    <w:abstractNumId w:val="47"/>
  </w:num>
  <w:num w:numId="33" w16cid:durableId="606347991">
    <w:abstractNumId w:val="26"/>
  </w:num>
  <w:num w:numId="34" w16cid:durableId="588927739">
    <w:abstractNumId w:val="27"/>
  </w:num>
  <w:num w:numId="35" w16cid:durableId="150416138">
    <w:abstractNumId w:val="31"/>
  </w:num>
  <w:num w:numId="36" w16cid:durableId="1572038258">
    <w:abstractNumId w:val="21"/>
  </w:num>
  <w:num w:numId="37" w16cid:durableId="691077928">
    <w:abstractNumId w:val="37"/>
  </w:num>
  <w:num w:numId="38" w16cid:durableId="1375231114">
    <w:abstractNumId w:val="40"/>
  </w:num>
  <w:num w:numId="39" w16cid:durableId="237329294">
    <w:abstractNumId w:val="3"/>
  </w:num>
  <w:num w:numId="40" w16cid:durableId="1492941668">
    <w:abstractNumId w:val="29"/>
  </w:num>
  <w:num w:numId="41" w16cid:durableId="1653214845">
    <w:abstractNumId w:val="38"/>
  </w:num>
  <w:num w:numId="42" w16cid:durableId="2044749839">
    <w:abstractNumId w:val="50"/>
  </w:num>
  <w:num w:numId="43" w16cid:durableId="1875146267">
    <w:abstractNumId w:val="35"/>
  </w:num>
  <w:num w:numId="44" w16cid:durableId="1991976438">
    <w:abstractNumId w:val="51"/>
  </w:num>
  <w:num w:numId="45" w16cid:durableId="2145848680">
    <w:abstractNumId w:val="12"/>
  </w:num>
  <w:num w:numId="46" w16cid:durableId="1348560784">
    <w:abstractNumId w:val="10"/>
  </w:num>
  <w:num w:numId="47" w16cid:durableId="1694914076">
    <w:abstractNumId w:val="19"/>
  </w:num>
  <w:num w:numId="48" w16cid:durableId="1991903859">
    <w:abstractNumId w:val="32"/>
  </w:num>
  <w:num w:numId="49" w16cid:durableId="120156471">
    <w:abstractNumId w:val="48"/>
  </w:num>
  <w:num w:numId="50" w16cid:durableId="1226141694">
    <w:abstractNumId w:val="16"/>
  </w:num>
  <w:num w:numId="51" w16cid:durableId="1761875727">
    <w:abstractNumId w:val="34"/>
  </w:num>
  <w:num w:numId="52" w16cid:durableId="300162634">
    <w:abstractNumId w:val="15"/>
  </w:num>
  <w:num w:numId="53" w16cid:durableId="13101314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03CDD"/>
    <w:rsid w:val="00004343"/>
    <w:rsid w:val="00010853"/>
    <w:rsid w:val="00010E28"/>
    <w:rsid w:val="00013025"/>
    <w:rsid w:val="00017BC6"/>
    <w:rsid w:val="00017C69"/>
    <w:rsid w:val="00017EB4"/>
    <w:rsid w:val="0002217F"/>
    <w:rsid w:val="00025F8F"/>
    <w:rsid w:val="00026C24"/>
    <w:rsid w:val="000309D6"/>
    <w:rsid w:val="0003337E"/>
    <w:rsid w:val="000347B3"/>
    <w:rsid w:val="0003570D"/>
    <w:rsid w:val="00036D59"/>
    <w:rsid w:val="00042A32"/>
    <w:rsid w:val="0004405B"/>
    <w:rsid w:val="000456F8"/>
    <w:rsid w:val="00047588"/>
    <w:rsid w:val="000531FC"/>
    <w:rsid w:val="00057157"/>
    <w:rsid w:val="00057BC0"/>
    <w:rsid w:val="00062A95"/>
    <w:rsid w:val="0006553C"/>
    <w:rsid w:val="0007017B"/>
    <w:rsid w:val="000701CF"/>
    <w:rsid w:val="00070631"/>
    <w:rsid w:val="00071C29"/>
    <w:rsid w:val="000720A4"/>
    <w:rsid w:val="00075CE7"/>
    <w:rsid w:val="00082311"/>
    <w:rsid w:val="00083378"/>
    <w:rsid w:val="000918AE"/>
    <w:rsid w:val="000960BD"/>
    <w:rsid w:val="00096FC3"/>
    <w:rsid w:val="000A0CCA"/>
    <w:rsid w:val="000A2852"/>
    <w:rsid w:val="000A4315"/>
    <w:rsid w:val="000A5E1F"/>
    <w:rsid w:val="000B0CA4"/>
    <w:rsid w:val="000B1E5A"/>
    <w:rsid w:val="000B25A4"/>
    <w:rsid w:val="000B7081"/>
    <w:rsid w:val="000C1705"/>
    <w:rsid w:val="000C262E"/>
    <w:rsid w:val="000C3979"/>
    <w:rsid w:val="000C3A02"/>
    <w:rsid w:val="000D1FF6"/>
    <w:rsid w:val="000D3D27"/>
    <w:rsid w:val="000E1C12"/>
    <w:rsid w:val="000E6278"/>
    <w:rsid w:val="000F05A5"/>
    <w:rsid w:val="000F5125"/>
    <w:rsid w:val="000F5C4E"/>
    <w:rsid w:val="000F70C8"/>
    <w:rsid w:val="001033CD"/>
    <w:rsid w:val="00103D8C"/>
    <w:rsid w:val="0010553B"/>
    <w:rsid w:val="00106383"/>
    <w:rsid w:val="00112A77"/>
    <w:rsid w:val="00113089"/>
    <w:rsid w:val="001136DA"/>
    <w:rsid w:val="00113917"/>
    <w:rsid w:val="0011447C"/>
    <w:rsid w:val="0011524A"/>
    <w:rsid w:val="0011659A"/>
    <w:rsid w:val="001219EC"/>
    <w:rsid w:val="001222D9"/>
    <w:rsid w:val="001224B8"/>
    <w:rsid w:val="00125AA2"/>
    <w:rsid w:val="0012617D"/>
    <w:rsid w:val="00131CD0"/>
    <w:rsid w:val="0014013C"/>
    <w:rsid w:val="00140833"/>
    <w:rsid w:val="00146B2D"/>
    <w:rsid w:val="00151B35"/>
    <w:rsid w:val="00152290"/>
    <w:rsid w:val="00160CD0"/>
    <w:rsid w:val="00162B4F"/>
    <w:rsid w:val="00164F98"/>
    <w:rsid w:val="00165663"/>
    <w:rsid w:val="001670CC"/>
    <w:rsid w:val="00174FD1"/>
    <w:rsid w:val="00175188"/>
    <w:rsid w:val="00177B97"/>
    <w:rsid w:val="00177F22"/>
    <w:rsid w:val="00181425"/>
    <w:rsid w:val="00185C0F"/>
    <w:rsid w:val="00185E43"/>
    <w:rsid w:val="001870CF"/>
    <w:rsid w:val="00191008"/>
    <w:rsid w:val="00191CE2"/>
    <w:rsid w:val="00191F5D"/>
    <w:rsid w:val="001A3C3B"/>
    <w:rsid w:val="001A4822"/>
    <w:rsid w:val="001A7367"/>
    <w:rsid w:val="001A763B"/>
    <w:rsid w:val="001B1BCF"/>
    <w:rsid w:val="001B2850"/>
    <w:rsid w:val="001B35C0"/>
    <w:rsid w:val="001B6809"/>
    <w:rsid w:val="001C1664"/>
    <w:rsid w:val="001C7849"/>
    <w:rsid w:val="001D0C73"/>
    <w:rsid w:val="001E2AD6"/>
    <w:rsid w:val="001E52F0"/>
    <w:rsid w:val="001F0D8B"/>
    <w:rsid w:val="001F3381"/>
    <w:rsid w:val="001F4047"/>
    <w:rsid w:val="001F5ECE"/>
    <w:rsid w:val="001F6A57"/>
    <w:rsid w:val="00201F9E"/>
    <w:rsid w:val="0020211C"/>
    <w:rsid w:val="00207E48"/>
    <w:rsid w:val="0021126D"/>
    <w:rsid w:val="00214007"/>
    <w:rsid w:val="00215C96"/>
    <w:rsid w:val="002165B1"/>
    <w:rsid w:val="0022254F"/>
    <w:rsid w:val="00222619"/>
    <w:rsid w:val="00224F71"/>
    <w:rsid w:val="002260EA"/>
    <w:rsid w:val="00250C6A"/>
    <w:rsid w:val="0025122A"/>
    <w:rsid w:val="00255542"/>
    <w:rsid w:val="0025595D"/>
    <w:rsid w:val="00256928"/>
    <w:rsid w:val="002578AC"/>
    <w:rsid w:val="00261A6C"/>
    <w:rsid w:val="00262BA0"/>
    <w:rsid w:val="00262C6B"/>
    <w:rsid w:val="0026699F"/>
    <w:rsid w:val="00271755"/>
    <w:rsid w:val="002736B9"/>
    <w:rsid w:val="00273CE7"/>
    <w:rsid w:val="00274E51"/>
    <w:rsid w:val="00275686"/>
    <w:rsid w:val="00275A6C"/>
    <w:rsid w:val="00282519"/>
    <w:rsid w:val="0028309F"/>
    <w:rsid w:val="00283805"/>
    <w:rsid w:val="002841FB"/>
    <w:rsid w:val="0028544E"/>
    <w:rsid w:val="002855A7"/>
    <w:rsid w:val="00290BE0"/>
    <w:rsid w:val="002920B7"/>
    <w:rsid w:val="00293DD5"/>
    <w:rsid w:val="00294E4C"/>
    <w:rsid w:val="002A2CB2"/>
    <w:rsid w:val="002A357A"/>
    <w:rsid w:val="002A53E4"/>
    <w:rsid w:val="002A68E5"/>
    <w:rsid w:val="002A6AE2"/>
    <w:rsid w:val="002B6FE1"/>
    <w:rsid w:val="002C4DAA"/>
    <w:rsid w:val="002C566F"/>
    <w:rsid w:val="002C5F90"/>
    <w:rsid w:val="002C746A"/>
    <w:rsid w:val="002D0032"/>
    <w:rsid w:val="002D29C1"/>
    <w:rsid w:val="002D4C25"/>
    <w:rsid w:val="002D779F"/>
    <w:rsid w:val="002E4571"/>
    <w:rsid w:val="002E614D"/>
    <w:rsid w:val="002E7B9B"/>
    <w:rsid w:val="002F13AD"/>
    <w:rsid w:val="002F2854"/>
    <w:rsid w:val="002F390D"/>
    <w:rsid w:val="002F622D"/>
    <w:rsid w:val="00301688"/>
    <w:rsid w:val="0030250B"/>
    <w:rsid w:val="0030489C"/>
    <w:rsid w:val="00304D14"/>
    <w:rsid w:val="00307BC2"/>
    <w:rsid w:val="00314A38"/>
    <w:rsid w:val="00314BA1"/>
    <w:rsid w:val="003213E7"/>
    <w:rsid w:val="0032232B"/>
    <w:rsid w:val="0032255B"/>
    <w:rsid w:val="00323DB5"/>
    <w:rsid w:val="00325C9F"/>
    <w:rsid w:val="00326070"/>
    <w:rsid w:val="00327435"/>
    <w:rsid w:val="003301E3"/>
    <w:rsid w:val="00334AFE"/>
    <w:rsid w:val="00335061"/>
    <w:rsid w:val="00340A71"/>
    <w:rsid w:val="0034119D"/>
    <w:rsid w:val="00342617"/>
    <w:rsid w:val="00343DC9"/>
    <w:rsid w:val="003446E8"/>
    <w:rsid w:val="00344A75"/>
    <w:rsid w:val="00347BB3"/>
    <w:rsid w:val="003537BC"/>
    <w:rsid w:val="00356DB5"/>
    <w:rsid w:val="00357B46"/>
    <w:rsid w:val="00357F1B"/>
    <w:rsid w:val="0036070D"/>
    <w:rsid w:val="00364717"/>
    <w:rsid w:val="003666D3"/>
    <w:rsid w:val="00371A51"/>
    <w:rsid w:val="00371FD3"/>
    <w:rsid w:val="00375BB4"/>
    <w:rsid w:val="00382881"/>
    <w:rsid w:val="003835D9"/>
    <w:rsid w:val="003847E8"/>
    <w:rsid w:val="003867D8"/>
    <w:rsid w:val="003964AD"/>
    <w:rsid w:val="003969C1"/>
    <w:rsid w:val="003A4594"/>
    <w:rsid w:val="003A4F8F"/>
    <w:rsid w:val="003A534A"/>
    <w:rsid w:val="003A6497"/>
    <w:rsid w:val="003A64A8"/>
    <w:rsid w:val="003B0307"/>
    <w:rsid w:val="003C1386"/>
    <w:rsid w:val="003C49EA"/>
    <w:rsid w:val="003C71B5"/>
    <w:rsid w:val="003D1664"/>
    <w:rsid w:val="003D4B01"/>
    <w:rsid w:val="003D4FC1"/>
    <w:rsid w:val="003E15AF"/>
    <w:rsid w:val="003E3337"/>
    <w:rsid w:val="003E3D7B"/>
    <w:rsid w:val="003E584C"/>
    <w:rsid w:val="003E5EB8"/>
    <w:rsid w:val="003E7367"/>
    <w:rsid w:val="003F25FD"/>
    <w:rsid w:val="003F6D24"/>
    <w:rsid w:val="003F6F19"/>
    <w:rsid w:val="004007B2"/>
    <w:rsid w:val="00400D91"/>
    <w:rsid w:val="00406D01"/>
    <w:rsid w:val="0041583B"/>
    <w:rsid w:val="00417EF6"/>
    <w:rsid w:val="00424F13"/>
    <w:rsid w:val="00425A4E"/>
    <w:rsid w:val="00430C6E"/>
    <w:rsid w:val="00434037"/>
    <w:rsid w:val="004368C9"/>
    <w:rsid w:val="00436E05"/>
    <w:rsid w:val="0043733D"/>
    <w:rsid w:val="00437DEA"/>
    <w:rsid w:val="004400FA"/>
    <w:rsid w:val="00446BE5"/>
    <w:rsid w:val="00446BE6"/>
    <w:rsid w:val="00447C9D"/>
    <w:rsid w:val="00450035"/>
    <w:rsid w:val="00453063"/>
    <w:rsid w:val="00457003"/>
    <w:rsid w:val="004579C0"/>
    <w:rsid w:val="00457C38"/>
    <w:rsid w:val="00457D71"/>
    <w:rsid w:val="004612C5"/>
    <w:rsid w:val="00464401"/>
    <w:rsid w:val="004647A5"/>
    <w:rsid w:val="0047006E"/>
    <w:rsid w:val="004730E4"/>
    <w:rsid w:val="00475227"/>
    <w:rsid w:val="00477B94"/>
    <w:rsid w:val="00482633"/>
    <w:rsid w:val="00483C1A"/>
    <w:rsid w:val="00485741"/>
    <w:rsid w:val="00485D87"/>
    <w:rsid w:val="00490A75"/>
    <w:rsid w:val="00490BA0"/>
    <w:rsid w:val="00491D36"/>
    <w:rsid w:val="00491E91"/>
    <w:rsid w:val="00491FC9"/>
    <w:rsid w:val="004920AB"/>
    <w:rsid w:val="00493342"/>
    <w:rsid w:val="00493749"/>
    <w:rsid w:val="0049411E"/>
    <w:rsid w:val="004941E2"/>
    <w:rsid w:val="00495872"/>
    <w:rsid w:val="004962C3"/>
    <w:rsid w:val="00496322"/>
    <w:rsid w:val="004A37DC"/>
    <w:rsid w:val="004B0E04"/>
    <w:rsid w:val="004B1036"/>
    <w:rsid w:val="004B14D6"/>
    <w:rsid w:val="004B185F"/>
    <w:rsid w:val="004B29B4"/>
    <w:rsid w:val="004B38F2"/>
    <w:rsid w:val="004B426D"/>
    <w:rsid w:val="004B5A94"/>
    <w:rsid w:val="004D1185"/>
    <w:rsid w:val="004D291B"/>
    <w:rsid w:val="004D3BF1"/>
    <w:rsid w:val="004D6072"/>
    <w:rsid w:val="004D7A96"/>
    <w:rsid w:val="004D7AE9"/>
    <w:rsid w:val="004E2441"/>
    <w:rsid w:val="004E2FD3"/>
    <w:rsid w:val="004E5744"/>
    <w:rsid w:val="004E64F5"/>
    <w:rsid w:val="004F2622"/>
    <w:rsid w:val="004F65CE"/>
    <w:rsid w:val="005002A3"/>
    <w:rsid w:val="0051012E"/>
    <w:rsid w:val="00510264"/>
    <w:rsid w:val="0051197D"/>
    <w:rsid w:val="00512DB3"/>
    <w:rsid w:val="00512E63"/>
    <w:rsid w:val="00514C7B"/>
    <w:rsid w:val="005152F3"/>
    <w:rsid w:val="00516368"/>
    <w:rsid w:val="005165E5"/>
    <w:rsid w:val="005168B0"/>
    <w:rsid w:val="00517EA3"/>
    <w:rsid w:val="005235EF"/>
    <w:rsid w:val="00525A3D"/>
    <w:rsid w:val="00532AB8"/>
    <w:rsid w:val="00534607"/>
    <w:rsid w:val="00542BFE"/>
    <w:rsid w:val="00543956"/>
    <w:rsid w:val="00543C57"/>
    <w:rsid w:val="00543C9A"/>
    <w:rsid w:val="005469C9"/>
    <w:rsid w:val="005522FC"/>
    <w:rsid w:val="005527A3"/>
    <w:rsid w:val="00554215"/>
    <w:rsid w:val="005559ED"/>
    <w:rsid w:val="00556E4E"/>
    <w:rsid w:val="00557AAF"/>
    <w:rsid w:val="005629F0"/>
    <w:rsid w:val="00563EB7"/>
    <w:rsid w:val="0057360D"/>
    <w:rsid w:val="00576886"/>
    <w:rsid w:val="0057782F"/>
    <w:rsid w:val="005820B9"/>
    <w:rsid w:val="00584110"/>
    <w:rsid w:val="005848E5"/>
    <w:rsid w:val="00586446"/>
    <w:rsid w:val="00591D54"/>
    <w:rsid w:val="00591DBA"/>
    <w:rsid w:val="00592107"/>
    <w:rsid w:val="00592CC0"/>
    <w:rsid w:val="00595B69"/>
    <w:rsid w:val="005972AC"/>
    <w:rsid w:val="005A37B5"/>
    <w:rsid w:val="005A575F"/>
    <w:rsid w:val="005A5A05"/>
    <w:rsid w:val="005A61C0"/>
    <w:rsid w:val="005B2B74"/>
    <w:rsid w:val="005B3F52"/>
    <w:rsid w:val="005B474B"/>
    <w:rsid w:val="005B71ED"/>
    <w:rsid w:val="005C0208"/>
    <w:rsid w:val="005C0962"/>
    <w:rsid w:val="005C2069"/>
    <w:rsid w:val="005C3502"/>
    <w:rsid w:val="005C3870"/>
    <w:rsid w:val="005C4873"/>
    <w:rsid w:val="005C4CEE"/>
    <w:rsid w:val="005C5991"/>
    <w:rsid w:val="005D11B9"/>
    <w:rsid w:val="005E180E"/>
    <w:rsid w:val="005E27C3"/>
    <w:rsid w:val="005E307C"/>
    <w:rsid w:val="005E3B89"/>
    <w:rsid w:val="005E46AE"/>
    <w:rsid w:val="005E708E"/>
    <w:rsid w:val="005E7BA8"/>
    <w:rsid w:val="005F2110"/>
    <w:rsid w:val="005F2D63"/>
    <w:rsid w:val="005F44D8"/>
    <w:rsid w:val="00602556"/>
    <w:rsid w:val="00603416"/>
    <w:rsid w:val="00603453"/>
    <w:rsid w:val="00607828"/>
    <w:rsid w:val="006166BF"/>
    <w:rsid w:val="006179E8"/>
    <w:rsid w:val="00622E07"/>
    <w:rsid w:val="00624E99"/>
    <w:rsid w:val="00625C0B"/>
    <w:rsid w:val="006334DF"/>
    <w:rsid w:val="00633631"/>
    <w:rsid w:val="006368BE"/>
    <w:rsid w:val="00640BB6"/>
    <w:rsid w:val="00642211"/>
    <w:rsid w:val="0064339E"/>
    <w:rsid w:val="00643D7D"/>
    <w:rsid w:val="0064489F"/>
    <w:rsid w:val="006452CC"/>
    <w:rsid w:val="006465B5"/>
    <w:rsid w:val="006476F1"/>
    <w:rsid w:val="00647781"/>
    <w:rsid w:val="00650FC6"/>
    <w:rsid w:val="006543BC"/>
    <w:rsid w:val="0065580E"/>
    <w:rsid w:val="0066033D"/>
    <w:rsid w:val="006656B2"/>
    <w:rsid w:val="00666076"/>
    <w:rsid w:val="00667292"/>
    <w:rsid w:val="0067025C"/>
    <w:rsid w:val="00670CF6"/>
    <w:rsid w:val="0067273B"/>
    <w:rsid w:val="00672815"/>
    <w:rsid w:val="00673E7E"/>
    <w:rsid w:val="00674F89"/>
    <w:rsid w:val="00675DD2"/>
    <w:rsid w:val="00675E6C"/>
    <w:rsid w:val="00680695"/>
    <w:rsid w:val="00680BE7"/>
    <w:rsid w:val="00680C16"/>
    <w:rsid w:val="006829E1"/>
    <w:rsid w:val="00684D4C"/>
    <w:rsid w:val="00685521"/>
    <w:rsid w:val="00685AA1"/>
    <w:rsid w:val="00691222"/>
    <w:rsid w:val="00691952"/>
    <w:rsid w:val="00691B6B"/>
    <w:rsid w:val="00692606"/>
    <w:rsid w:val="00692C9E"/>
    <w:rsid w:val="00693AAE"/>
    <w:rsid w:val="006946A7"/>
    <w:rsid w:val="00695012"/>
    <w:rsid w:val="006B3066"/>
    <w:rsid w:val="006B41F8"/>
    <w:rsid w:val="006B63D4"/>
    <w:rsid w:val="006B745C"/>
    <w:rsid w:val="006C0824"/>
    <w:rsid w:val="006C0B42"/>
    <w:rsid w:val="006C2C4E"/>
    <w:rsid w:val="006C355D"/>
    <w:rsid w:val="006C3E81"/>
    <w:rsid w:val="006C5209"/>
    <w:rsid w:val="006C54F5"/>
    <w:rsid w:val="006D25B2"/>
    <w:rsid w:val="006D261D"/>
    <w:rsid w:val="006D26CA"/>
    <w:rsid w:val="006D39B3"/>
    <w:rsid w:val="006D6E85"/>
    <w:rsid w:val="006E010E"/>
    <w:rsid w:val="006E1B2D"/>
    <w:rsid w:val="006E2456"/>
    <w:rsid w:val="006E6364"/>
    <w:rsid w:val="006F1607"/>
    <w:rsid w:val="006F42FD"/>
    <w:rsid w:val="006F5773"/>
    <w:rsid w:val="0070266E"/>
    <w:rsid w:val="00703E26"/>
    <w:rsid w:val="00710966"/>
    <w:rsid w:val="00711D61"/>
    <w:rsid w:val="007125DE"/>
    <w:rsid w:val="007154F1"/>
    <w:rsid w:val="00716241"/>
    <w:rsid w:val="00716B32"/>
    <w:rsid w:val="007174AF"/>
    <w:rsid w:val="00717BC1"/>
    <w:rsid w:val="007215C4"/>
    <w:rsid w:val="00724CD5"/>
    <w:rsid w:val="00726253"/>
    <w:rsid w:val="00726A3B"/>
    <w:rsid w:val="00727179"/>
    <w:rsid w:val="00732706"/>
    <w:rsid w:val="0073524D"/>
    <w:rsid w:val="00740885"/>
    <w:rsid w:val="00742380"/>
    <w:rsid w:val="0074629D"/>
    <w:rsid w:val="007508D0"/>
    <w:rsid w:val="00752BC8"/>
    <w:rsid w:val="00752E2F"/>
    <w:rsid w:val="0075660D"/>
    <w:rsid w:val="00756C42"/>
    <w:rsid w:val="007570FB"/>
    <w:rsid w:val="00757B36"/>
    <w:rsid w:val="00760299"/>
    <w:rsid w:val="007614A1"/>
    <w:rsid w:val="00761595"/>
    <w:rsid w:val="007738F4"/>
    <w:rsid w:val="00776073"/>
    <w:rsid w:val="007779ED"/>
    <w:rsid w:val="007810EC"/>
    <w:rsid w:val="007852A1"/>
    <w:rsid w:val="0079500D"/>
    <w:rsid w:val="007A03FC"/>
    <w:rsid w:val="007A0FD2"/>
    <w:rsid w:val="007A13CF"/>
    <w:rsid w:val="007A2A8E"/>
    <w:rsid w:val="007A2C1C"/>
    <w:rsid w:val="007A56C0"/>
    <w:rsid w:val="007A7655"/>
    <w:rsid w:val="007B11AC"/>
    <w:rsid w:val="007B1975"/>
    <w:rsid w:val="007B2C44"/>
    <w:rsid w:val="007B2EF4"/>
    <w:rsid w:val="007B447F"/>
    <w:rsid w:val="007C3398"/>
    <w:rsid w:val="007C56C2"/>
    <w:rsid w:val="007C7AE7"/>
    <w:rsid w:val="007E05F3"/>
    <w:rsid w:val="007E3A1A"/>
    <w:rsid w:val="007E6602"/>
    <w:rsid w:val="007E669F"/>
    <w:rsid w:val="007F3725"/>
    <w:rsid w:val="0080216C"/>
    <w:rsid w:val="0080297F"/>
    <w:rsid w:val="00802C78"/>
    <w:rsid w:val="00803AC6"/>
    <w:rsid w:val="00805D07"/>
    <w:rsid w:val="008109B4"/>
    <w:rsid w:val="008121FF"/>
    <w:rsid w:val="00812266"/>
    <w:rsid w:val="00812B8B"/>
    <w:rsid w:val="008150C5"/>
    <w:rsid w:val="008158AB"/>
    <w:rsid w:val="008158D9"/>
    <w:rsid w:val="0081624E"/>
    <w:rsid w:val="00817949"/>
    <w:rsid w:val="00822016"/>
    <w:rsid w:val="00824E5C"/>
    <w:rsid w:val="008305F2"/>
    <w:rsid w:val="00830E0A"/>
    <w:rsid w:val="00840A4E"/>
    <w:rsid w:val="0084113F"/>
    <w:rsid w:val="008441A3"/>
    <w:rsid w:val="008459F3"/>
    <w:rsid w:val="00846195"/>
    <w:rsid w:val="008477D9"/>
    <w:rsid w:val="00847AC4"/>
    <w:rsid w:val="0084A177"/>
    <w:rsid w:val="008522A1"/>
    <w:rsid w:val="00853F64"/>
    <w:rsid w:val="008572DD"/>
    <w:rsid w:val="0086182A"/>
    <w:rsid w:val="00866143"/>
    <w:rsid w:val="00866D18"/>
    <w:rsid w:val="00867529"/>
    <w:rsid w:val="008702A6"/>
    <w:rsid w:val="008726D5"/>
    <w:rsid w:val="0087280A"/>
    <w:rsid w:val="00874315"/>
    <w:rsid w:val="0087715C"/>
    <w:rsid w:val="008817FA"/>
    <w:rsid w:val="008823D7"/>
    <w:rsid w:val="008833F7"/>
    <w:rsid w:val="00885800"/>
    <w:rsid w:val="0088614D"/>
    <w:rsid w:val="0088615B"/>
    <w:rsid w:val="00890B99"/>
    <w:rsid w:val="00891BD0"/>
    <w:rsid w:val="00893463"/>
    <w:rsid w:val="00893757"/>
    <w:rsid w:val="00897F42"/>
    <w:rsid w:val="008A161E"/>
    <w:rsid w:val="008A1674"/>
    <w:rsid w:val="008A2B01"/>
    <w:rsid w:val="008A2F26"/>
    <w:rsid w:val="008A4B87"/>
    <w:rsid w:val="008A7F24"/>
    <w:rsid w:val="008B5C28"/>
    <w:rsid w:val="008B7755"/>
    <w:rsid w:val="008C5AD2"/>
    <w:rsid w:val="008D60DF"/>
    <w:rsid w:val="008D747C"/>
    <w:rsid w:val="008E59BD"/>
    <w:rsid w:val="008E5CD5"/>
    <w:rsid w:val="008E6227"/>
    <w:rsid w:val="008F045E"/>
    <w:rsid w:val="008F30ED"/>
    <w:rsid w:val="008F3FBA"/>
    <w:rsid w:val="008F4D53"/>
    <w:rsid w:val="008F5E36"/>
    <w:rsid w:val="008F7AC5"/>
    <w:rsid w:val="0090080A"/>
    <w:rsid w:val="009009C4"/>
    <w:rsid w:val="00910E04"/>
    <w:rsid w:val="0091201F"/>
    <w:rsid w:val="00912DF5"/>
    <w:rsid w:val="009133BF"/>
    <w:rsid w:val="00913D6A"/>
    <w:rsid w:val="00915B9C"/>
    <w:rsid w:val="00920ED3"/>
    <w:rsid w:val="009238A8"/>
    <w:rsid w:val="00927AA3"/>
    <w:rsid w:val="009306AC"/>
    <w:rsid w:val="00930924"/>
    <w:rsid w:val="00931CBF"/>
    <w:rsid w:val="00932A85"/>
    <w:rsid w:val="0093396F"/>
    <w:rsid w:val="009418B9"/>
    <w:rsid w:val="00945FE7"/>
    <w:rsid w:val="00946BCA"/>
    <w:rsid w:val="00947141"/>
    <w:rsid w:val="009515C9"/>
    <w:rsid w:val="00953978"/>
    <w:rsid w:val="00955B73"/>
    <w:rsid w:val="009569C2"/>
    <w:rsid w:val="00962A5C"/>
    <w:rsid w:val="00965596"/>
    <w:rsid w:val="0096567F"/>
    <w:rsid w:val="00966600"/>
    <w:rsid w:val="00972774"/>
    <w:rsid w:val="00973731"/>
    <w:rsid w:val="0097690E"/>
    <w:rsid w:val="00976982"/>
    <w:rsid w:val="00984D23"/>
    <w:rsid w:val="009853D9"/>
    <w:rsid w:val="00986DF2"/>
    <w:rsid w:val="00991E50"/>
    <w:rsid w:val="009978C3"/>
    <w:rsid w:val="009A2ACD"/>
    <w:rsid w:val="009A3972"/>
    <w:rsid w:val="009A5FB0"/>
    <w:rsid w:val="009A72CA"/>
    <w:rsid w:val="009B2104"/>
    <w:rsid w:val="009B5D24"/>
    <w:rsid w:val="009B6ED2"/>
    <w:rsid w:val="009C2412"/>
    <w:rsid w:val="009C3BD7"/>
    <w:rsid w:val="009C3D1B"/>
    <w:rsid w:val="009C4CB8"/>
    <w:rsid w:val="009C5BD7"/>
    <w:rsid w:val="009C7BC5"/>
    <w:rsid w:val="009D0444"/>
    <w:rsid w:val="009D566C"/>
    <w:rsid w:val="009D6605"/>
    <w:rsid w:val="009E0200"/>
    <w:rsid w:val="009E28CB"/>
    <w:rsid w:val="009E2E4A"/>
    <w:rsid w:val="009E5E0A"/>
    <w:rsid w:val="009F099F"/>
    <w:rsid w:val="009F7B4E"/>
    <w:rsid w:val="00A01A53"/>
    <w:rsid w:val="00A02976"/>
    <w:rsid w:val="00A038BB"/>
    <w:rsid w:val="00A07BCF"/>
    <w:rsid w:val="00A11736"/>
    <w:rsid w:val="00A125F8"/>
    <w:rsid w:val="00A13C5C"/>
    <w:rsid w:val="00A14698"/>
    <w:rsid w:val="00A146FD"/>
    <w:rsid w:val="00A16153"/>
    <w:rsid w:val="00A173C8"/>
    <w:rsid w:val="00A251EB"/>
    <w:rsid w:val="00A26236"/>
    <w:rsid w:val="00A26FE4"/>
    <w:rsid w:val="00A31370"/>
    <w:rsid w:val="00A338EF"/>
    <w:rsid w:val="00A34D06"/>
    <w:rsid w:val="00A363B9"/>
    <w:rsid w:val="00A37375"/>
    <w:rsid w:val="00A37DA1"/>
    <w:rsid w:val="00A4266B"/>
    <w:rsid w:val="00A44C00"/>
    <w:rsid w:val="00A4567F"/>
    <w:rsid w:val="00A511A7"/>
    <w:rsid w:val="00A57875"/>
    <w:rsid w:val="00A614D7"/>
    <w:rsid w:val="00A619C5"/>
    <w:rsid w:val="00A624B3"/>
    <w:rsid w:val="00A63096"/>
    <w:rsid w:val="00A64B57"/>
    <w:rsid w:val="00A65F1F"/>
    <w:rsid w:val="00A7653B"/>
    <w:rsid w:val="00A76F9B"/>
    <w:rsid w:val="00A82CC4"/>
    <w:rsid w:val="00A85FA7"/>
    <w:rsid w:val="00A92EF8"/>
    <w:rsid w:val="00A94A21"/>
    <w:rsid w:val="00A9546E"/>
    <w:rsid w:val="00AA1763"/>
    <w:rsid w:val="00AA4D26"/>
    <w:rsid w:val="00AA5115"/>
    <w:rsid w:val="00AA6D6A"/>
    <w:rsid w:val="00AB3A5D"/>
    <w:rsid w:val="00AB3CDB"/>
    <w:rsid w:val="00AB5268"/>
    <w:rsid w:val="00AB67A3"/>
    <w:rsid w:val="00AB6AF5"/>
    <w:rsid w:val="00AB6C22"/>
    <w:rsid w:val="00AB779E"/>
    <w:rsid w:val="00AC0157"/>
    <w:rsid w:val="00AC6CBE"/>
    <w:rsid w:val="00AD1176"/>
    <w:rsid w:val="00AD32E7"/>
    <w:rsid w:val="00AD7CE6"/>
    <w:rsid w:val="00AE33BB"/>
    <w:rsid w:val="00AE3850"/>
    <w:rsid w:val="00AE4993"/>
    <w:rsid w:val="00AF09C5"/>
    <w:rsid w:val="00B056B7"/>
    <w:rsid w:val="00B0788E"/>
    <w:rsid w:val="00B10011"/>
    <w:rsid w:val="00B10B28"/>
    <w:rsid w:val="00B15424"/>
    <w:rsid w:val="00B22591"/>
    <w:rsid w:val="00B23DB3"/>
    <w:rsid w:val="00B24CCA"/>
    <w:rsid w:val="00B2785C"/>
    <w:rsid w:val="00B32854"/>
    <w:rsid w:val="00B34BC6"/>
    <w:rsid w:val="00B40581"/>
    <w:rsid w:val="00B40C0B"/>
    <w:rsid w:val="00B40D70"/>
    <w:rsid w:val="00B45682"/>
    <w:rsid w:val="00B501F3"/>
    <w:rsid w:val="00B50A4A"/>
    <w:rsid w:val="00B572C8"/>
    <w:rsid w:val="00B614B9"/>
    <w:rsid w:val="00B64548"/>
    <w:rsid w:val="00B66096"/>
    <w:rsid w:val="00B66DA1"/>
    <w:rsid w:val="00B6750F"/>
    <w:rsid w:val="00B67C90"/>
    <w:rsid w:val="00B708B4"/>
    <w:rsid w:val="00B70A42"/>
    <w:rsid w:val="00B722E9"/>
    <w:rsid w:val="00B76977"/>
    <w:rsid w:val="00B77918"/>
    <w:rsid w:val="00B77EAA"/>
    <w:rsid w:val="00B801DB"/>
    <w:rsid w:val="00B80295"/>
    <w:rsid w:val="00B811FD"/>
    <w:rsid w:val="00B83C63"/>
    <w:rsid w:val="00B84512"/>
    <w:rsid w:val="00B86996"/>
    <w:rsid w:val="00B9122C"/>
    <w:rsid w:val="00B92CBF"/>
    <w:rsid w:val="00B95C8C"/>
    <w:rsid w:val="00BA4FBB"/>
    <w:rsid w:val="00BA54B7"/>
    <w:rsid w:val="00BA733C"/>
    <w:rsid w:val="00BB5EEF"/>
    <w:rsid w:val="00BC0347"/>
    <w:rsid w:val="00BC3579"/>
    <w:rsid w:val="00BC3F80"/>
    <w:rsid w:val="00BC6012"/>
    <w:rsid w:val="00BD1A16"/>
    <w:rsid w:val="00BD1E0B"/>
    <w:rsid w:val="00BD2384"/>
    <w:rsid w:val="00BD2546"/>
    <w:rsid w:val="00BD350A"/>
    <w:rsid w:val="00BD719F"/>
    <w:rsid w:val="00BD71BF"/>
    <w:rsid w:val="00BE4B54"/>
    <w:rsid w:val="00BE6F0F"/>
    <w:rsid w:val="00BE7C6F"/>
    <w:rsid w:val="00BF02CF"/>
    <w:rsid w:val="00BF0D45"/>
    <w:rsid w:val="00BF21CD"/>
    <w:rsid w:val="00BF2644"/>
    <w:rsid w:val="00C01066"/>
    <w:rsid w:val="00C02503"/>
    <w:rsid w:val="00C125B1"/>
    <w:rsid w:val="00C16932"/>
    <w:rsid w:val="00C16E12"/>
    <w:rsid w:val="00C22FB0"/>
    <w:rsid w:val="00C23530"/>
    <w:rsid w:val="00C24130"/>
    <w:rsid w:val="00C300B0"/>
    <w:rsid w:val="00C32512"/>
    <w:rsid w:val="00C335D3"/>
    <w:rsid w:val="00C36188"/>
    <w:rsid w:val="00C40204"/>
    <w:rsid w:val="00C44463"/>
    <w:rsid w:val="00C45BE9"/>
    <w:rsid w:val="00C5186C"/>
    <w:rsid w:val="00C5599E"/>
    <w:rsid w:val="00C56C36"/>
    <w:rsid w:val="00C60CB0"/>
    <w:rsid w:val="00C612AC"/>
    <w:rsid w:val="00C65948"/>
    <w:rsid w:val="00C65F8F"/>
    <w:rsid w:val="00C66EC2"/>
    <w:rsid w:val="00C742D2"/>
    <w:rsid w:val="00C7541C"/>
    <w:rsid w:val="00C8459B"/>
    <w:rsid w:val="00C851AD"/>
    <w:rsid w:val="00C979DB"/>
    <w:rsid w:val="00CA0CB7"/>
    <w:rsid w:val="00CA454C"/>
    <w:rsid w:val="00CA7731"/>
    <w:rsid w:val="00CB0E73"/>
    <w:rsid w:val="00CB1583"/>
    <w:rsid w:val="00CB2384"/>
    <w:rsid w:val="00CB4EB9"/>
    <w:rsid w:val="00CB615D"/>
    <w:rsid w:val="00CB6F08"/>
    <w:rsid w:val="00CC35C2"/>
    <w:rsid w:val="00CD5EE1"/>
    <w:rsid w:val="00CD6324"/>
    <w:rsid w:val="00CD7936"/>
    <w:rsid w:val="00CE0432"/>
    <w:rsid w:val="00CE1470"/>
    <w:rsid w:val="00CE3AF4"/>
    <w:rsid w:val="00CE7074"/>
    <w:rsid w:val="00CF257E"/>
    <w:rsid w:val="00D0035C"/>
    <w:rsid w:val="00D07827"/>
    <w:rsid w:val="00D13134"/>
    <w:rsid w:val="00D157AA"/>
    <w:rsid w:val="00D16E9E"/>
    <w:rsid w:val="00D17181"/>
    <w:rsid w:val="00D214A7"/>
    <w:rsid w:val="00D215DE"/>
    <w:rsid w:val="00D22CC8"/>
    <w:rsid w:val="00D23A95"/>
    <w:rsid w:val="00D26BE0"/>
    <w:rsid w:val="00D31AB6"/>
    <w:rsid w:val="00D34D20"/>
    <w:rsid w:val="00D3584C"/>
    <w:rsid w:val="00D400B5"/>
    <w:rsid w:val="00D40424"/>
    <w:rsid w:val="00D46F9C"/>
    <w:rsid w:val="00D50220"/>
    <w:rsid w:val="00D53FF4"/>
    <w:rsid w:val="00D57445"/>
    <w:rsid w:val="00D57840"/>
    <w:rsid w:val="00D60747"/>
    <w:rsid w:val="00D62059"/>
    <w:rsid w:val="00D64156"/>
    <w:rsid w:val="00D71BCF"/>
    <w:rsid w:val="00D7216C"/>
    <w:rsid w:val="00D7508B"/>
    <w:rsid w:val="00D77128"/>
    <w:rsid w:val="00D82314"/>
    <w:rsid w:val="00D867E5"/>
    <w:rsid w:val="00D875E7"/>
    <w:rsid w:val="00D87DFE"/>
    <w:rsid w:val="00D91AE5"/>
    <w:rsid w:val="00D96CD2"/>
    <w:rsid w:val="00D96E12"/>
    <w:rsid w:val="00D97DD9"/>
    <w:rsid w:val="00DA0681"/>
    <w:rsid w:val="00DA20EF"/>
    <w:rsid w:val="00DA354D"/>
    <w:rsid w:val="00DA6258"/>
    <w:rsid w:val="00DA7244"/>
    <w:rsid w:val="00DB11A3"/>
    <w:rsid w:val="00DB56B9"/>
    <w:rsid w:val="00DB768B"/>
    <w:rsid w:val="00DC03E4"/>
    <w:rsid w:val="00DC1C6B"/>
    <w:rsid w:val="00DC44B6"/>
    <w:rsid w:val="00DC611C"/>
    <w:rsid w:val="00DC658F"/>
    <w:rsid w:val="00DC6E7D"/>
    <w:rsid w:val="00DD079C"/>
    <w:rsid w:val="00DD51CB"/>
    <w:rsid w:val="00DD5BA8"/>
    <w:rsid w:val="00DD7079"/>
    <w:rsid w:val="00DE0A04"/>
    <w:rsid w:val="00DE1184"/>
    <w:rsid w:val="00DE1544"/>
    <w:rsid w:val="00DE1845"/>
    <w:rsid w:val="00DE3ADE"/>
    <w:rsid w:val="00DE6D06"/>
    <w:rsid w:val="00DF02B8"/>
    <w:rsid w:val="00DF6019"/>
    <w:rsid w:val="00DF685E"/>
    <w:rsid w:val="00DF69A5"/>
    <w:rsid w:val="00E04BBA"/>
    <w:rsid w:val="00E05235"/>
    <w:rsid w:val="00E05C3D"/>
    <w:rsid w:val="00E06219"/>
    <w:rsid w:val="00E11FE8"/>
    <w:rsid w:val="00E13351"/>
    <w:rsid w:val="00E144BE"/>
    <w:rsid w:val="00E17023"/>
    <w:rsid w:val="00E17725"/>
    <w:rsid w:val="00E17A1C"/>
    <w:rsid w:val="00E21221"/>
    <w:rsid w:val="00E247BF"/>
    <w:rsid w:val="00E26580"/>
    <w:rsid w:val="00E32866"/>
    <w:rsid w:val="00E32C0C"/>
    <w:rsid w:val="00E32CE9"/>
    <w:rsid w:val="00E32F32"/>
    <w:rsid w:val="00E337C4"/>
    <w:rsid w:val="00E40A23"/>
    <w:rsid w:val="00E42AAA"/>
    <w:rsid w:val="00E440DE"/>
    <w:rsid w:val="00E4722D"/>
    <w:rsid w:val="00E4752A"/>
    <w:rsid w:val="00E503EA"/>
    <w:rsid w:val="00E51503"/>
    <w:rsid w:val="00E52E46"/>
    <w:rsid w:val="00E560B0"/>
    <w:rsid w:val="00E56420"/>
    <w:rsid w:val="00E60870"/>
    <w:rsid w:val="00E628A7"/>
    <w:rsid w:val="00E66B56"/>
    <w:rsid w:val="00E70CE2"/>
    <w:rsid w:val="00E70D0E"/>
    <w:rsid w:val="00E71743"/>
    <w:rsid w:val="00E7444F"/>
    <w:rsid w:val="00E768CA"/>
    <w:rsid w:val="00E80786"/>
    <w:rsid w:val="00E811A9"/>
    <w:rsid w:val="00E84DD0"/>
    <w:rsid w:val="00E85584"/>
    <w:rsid w:val="00E85F5C"/>
    <w:rsid w:val="00E917F2"/>
    <w:rsid w:val="00E95A47"/>
    <w:rsid w:val="00E96C54"/>
    <w:rsid w:val="00EA03BD"/>
    <w:rsid w:val="00EA3646"/>
    <w:rsid w:val="00EA4DFE"/>
    <w:rsid w:val="00EB1AD4"/>
    <w:rsid w:val="00EB7547"/>
    <w:rsid w:val="00ED3878"/>
    <w:rsid w:val="00ED4B1A"/>
    <w:rsid w:val="00ED6087"/>
    <w:rsid w:val="00EE00F2"/>
    <w:rsid w:val="00EE03FD"/>
    <w:rsid w:val="00EE0D7E"/>
    <w:rsid w:val="00EE5FE5"/>
    <w:rsid w:val="00EE64D0"/>
    <w:rsid w:val="00EE7176"/>
    <w:rsid w:val="00EF03C2"/>
    <w:rsid w:val="00EF03FB"/>
    <w:rsid w:val="00EF0D4E"/>
    <w:rsid w:val="00EF1716"/>
    <w:rsid w:val="00EF297B"/>
    <w:rsid w:val="00EF44E3"/>
    <w:rsid w:val="00EF71AB"/>
    <w:rsid w:val="00F00339"/>
    <w:rsid w:val="00F00554"/>
    <w:rsid w:val="00F00947"/>
    <w:rsid w:val="00F039F1"/>
    <w:rsid w:val="00F10285"/>
    <w:rsid w:val="00F110C3"/>
    <w:rsid w:val="00F12189"/>
    <w:rsid w:val="00F135C8"/>
    <w:rsid w:val="00F15098"/>
    <w:rsid w:val="00F2120D"/>
    <w:rsid w:val="00F22D3B"/>
    <w:rsid w:val="00F23649"/>
    <w:rsid w:val="00F24605"/>
    <w:rsid w:val="00F24B25"/>
    <w:rsid w:val="00F273B2"/>
    <w:rsid w:val="00F33A9F"/>
    <w:rsid w:val="00F33FA6"/>
    <w:rsid w:val="00F370A3"/>
    <w:rsid w:val="00F41000"/>
    <w:rsid w:val="00F42720"/>
    <w:rsid w:val="00F434C7"/>
    <w:rsid w:val="00F438B3"/>
    <w:rsid w:val="00F4527A"/>
    <w:rsid w:val="00F54150"/>
    <w:rsid w:val="00F557DF"/>
    <w:rsid w:val="00F55CAB"/>
    <w:rsid w:val="00F57395"/>
    <w:rsid w:val="00F6216E"/>
    <w:rsid w:val="00F623BD"/>
    <w:rsid w:val="00F646F9"/>
    <w:rsid w:val="00F72060"/>
    <w:rsid w:val="00F723AB"/>
    <w:rsid w:val="00F82488"/>
    <w:rsid w:val="00F84A4E"/>
    <w:rsid w:val="00F85A11"/>
    <w:rsid w:val="00F85D2F"/>
    <w:rsid w:val="00F86B02"/>
    <w:rsid w:val="00FA01BD"/>
    <w:rsid w:val="00FA1E58"/>
    <w:rsid w:val="00FA2D3A"/>
    <w:rsid w:val="00FA3C04"/>
    <w:rsid w:val="00FB1E19"/>
    <w:rsid w:val="00FB3573"/>
    <w:rsid w:val="00FB5D7E"/>
    <w:rsid w:val="00FB787A"/>
    <w:rsid w:val="00FC6F6F"/>
    <w:rsid w:val="00FD0F4A"/>
    <w:rsid w:val="00FD21DA"/>
    <w:rsid w:val="00FD2825"/>
    <w:rsid w:val="00FD5A10"/>
    <w:rsid w:val="00FD631B"/>
    <w:rsid w:val="00FD7456"/>
    <w:rsid w:val="00FE05D0"/>
    <w:rsid w:val="00FE323F"/>
    <w:rsid w:val="00FE55A5"/>
    <w:rsid w:val="00FE629B"/>
    <w:rsid w:val="00FE7AE7"/>
    <w:rsid w:val="00FF106C"/>
    <w:rsid w:val="00FF21F7"/>
    <w:rsid w:val="00FF4167"/>
    <w:rsid w:val="00FF433E"/>
    <w:rsid w:val="00FF5562"/>
    <w:rsid w:val="00FFC6F3"/>
    <w:rsid w:val="01A6D730"/>
    <w:rsid w:val="01AF3E4C"/>
    <w:rsid w:val="01DF65DA"/>
    <w:rsid w:val="02575C92"/>
    <w:rsid w:val="0283F30E"/>
    <w:rsid w:val="03B105F4"/>
    <w:rsid w:val="03DD47BC"/>
    <w:rsid w:val="0415D6BC"/>
    <w:rsid w:val="047E2E79"/>
    <w:rsid w:val="04DDE0A1"/>
    <w:rsid w:val="063DE522"/>
    <w:rsid w:val="0689A141"/>
    <w:rsid w:val="07591B11"/>
    <w:rsid w:val="075DD906"/>
    <w:rsid w:val="07915D1E"/>
    <w:rsid w:val="0795CFA9"/>
    <w:rsid w:val="07C99CE8"/>
    <w:rsid w:val="07D6B152"/>
    <w:rsid w:val="08412915"/>
    <w:rsid w:val="084A3445"/>
    <w:rsid w:val="0893B822"/>
    <w:rsid w:val="08E3C5A1"/>
    <w:rsid w:val="08FB0386"/>
    <w:rsid w:val="091125BF"/>
    <w:rsid w:val="0921B592"/>
    <w:rsid w:val="093DF7D2"/>
    <w:rsid w:val="0A2804CC"/>
    <w:rsid w:val="0A28CA7F"/>
    <w:rsid w:val="0AA364E5"/>
    <w:rsid w:val="0AC23A7B"/>
    <w:rsid w:val="0AED8C6B"/>
    <w:rsid w:val="0B1A3A5B"/>
    <w:rsid w:val="0C659CEE"/>
    <w:rsid w:val="0C77CC59"/>
    <w:rsid w:val="0CC5ADF6"/>
    <w:rsid w:val="0D1485EE"/>
    <w:rsid w:val="0D1B91CE"/>
    <w:rsid w:val="0D47B789"/>
    <w:rsid w:val="0D5D0C70"/>
    <w:rsid w:val="0D5FEEC5"/>
    <w:rsid w:val="0DA821BC"/>
    <w:rsid w:val="0DABEE9B"/>
    <w:rsid w:val="0DF1AD0A"/>
    <w:rsid w:val="0EED2AE5"/>
    <w:rsid w:val="0F14B3C8"/>
    <w:rsid w:val="0F570B14"/>
    <w:rsid w:val="0F5969ED"/>
    <w:rsid w:val="0FEBBB91"/>
    <w:rsid w:val="10282B8E"/>
    <w:rsid w:val="1088DE19"/>
    <w:rsid w:val="11146412"/>
    <w:rsid w:val="11DB2782"/>
    <w:rsid w:val="1235D55B"/>
    <w:rsid w:val="12718294"/>
    <w:rsid w:val="14498EE7"/>
    <w:rsid w:val="149F7743"/>
    <w:rsid w:val="14A121BC"/>
    <w:rsid w:val="14BA9709"/>
    <w:rsid w:val="152D85BD"/>
    <w:rsid w:val="15338734"/>
    <w:rsid w:val="154D4413"/>
    <w:rsid w:val="16AB3A2B"/>
    <w:rsid w:val="1740A84F"/>
    <w:rsid w:val="187A7473"/>
    <w:rsid w:val="18EC84F1"/>
    <w:rsid w:val="18F40C24"/>
    <w:rsid w:val="19BE4594"/>
    <w:rsid w:val="1A3D9866"/>
    <w:rsid w:val="1AC38EFE"/>
    <w:rsid w:val="1B30C178"/>
    <w:rsid w:val="1BC1676D"/>
    <w:rsid w:val="1C80D2AB"/>
    <w:rsid w:val="1CE487A9"/>
    <w:rsid w:val="1CF3551A"/>
    <w:rsid w:val="1D18D79A"/>
    <w:rsid w:val="1D5DDF6E"/>
    <w:rsid w:val="1D63EB5A"/>
    <w:rsid w:val="1D910450"/>
    <w:rsid w:val="1DC555D5"/>
    <w:rsid w:val="1F67D531"/>
    <w:rsid w:val="1F84C8AC"/>
    <w:rsid w:val="1FAC8A7E"/>
    <w:rsid w:val="1FC25454"/>
    <w:rsid w:val="1FC4F434"/>
    <w:rsid w:val="204F71A0"/>
    <w:rsid w:val="20AC9B6A"/>
    <w:rsid w:val="20E86E8F"/>
    <w:rsid w:val="2148B6DB"/>
    <w:rsid w:val="219BAED8"/>
    <w:rsid w:val="21C75156"/>
    <w:rsid w:val="21E678F4"/>
    <w:rsid w:val="21F77C12"/>
    <w:rsid w:val="22656191"/>
    <w:rsid w:val="22D5642B"/>
    <w:rsid w:val="245D4BBA"/>
    <w:rsid w:val="260E8CCD"/>
    <w:rsid w:val="26D740E2"/>
    <w:rsid w:val="27924407"/>
    <w:rsid w:val="281DFE16"/>
    <w:rsid w:val="284DB1CC"/>
    <w:rsid w:val="28F93CD5"/>
    <w:rsid w:val="2A30FC40"/>
    <w:rsid w:val="2A3827F2"/>
    <w:rsid w:val="2AC3F6D6"/>
    <w:rsid w:val="2AD0BD22"/>
    <w:rsid w:val="2B872CF4"/>
    <w:rsid w:val="2BF7E180"/>
    <w:rsid w:val="2CC2ABB6"/>
    <w:rsid w:val="2CF08DAB"/>
    <w:rsid w:val="2DB7DF5D"/>
    <w:rsid w:val="2DEFA31A"/>
    <w:rsid w:val="2E1C67E1"/>
    <w:rsid w:val="2E4D8339"/>
    <w:rsid w:val="2E604854"/>
    <w:rsid w:val="2E7A96D2"/>
    <w:rsid w:val="2E7BDE19"/>
    <w:rsid w:val="2E81660D"/>
    <w:rsid w:val="2EBD189E"/>
    <w:rsid w:val="2ED1C052"/>
    <w:rsid w:val="2FA0C2B6"/>
    <w:rsid w:val="2FC9EB4E"/>
    <w:rsid w:val="301CF4E4"/>
    <w:rsid w:val="316CE826"/>
    <w:rsid w:val="31A78B67"/>
    <w:rsid w:val="320EDC47"/>
    <w:rsid w:val="3220A6CD"/>
    <w:rsid w:val="325B4426"/>
    <w:rsid w:val="32703D2C"/>
    <w:rsid w:val="32953DB6"/>
    <w:rsid w:val="32A948FF"/>
    <w:rsid w:val="32DFFACF"/>
    <w:rsid w:val="336A16E1"/>
    <w:rsid w:val="3396B3D8"/>
    <w:rsid w:val="3578C68E"/>
    <w:rsid w:val="3618DF92"/>
    <w:rsid w:val="366BF149"/>
    <w:rsid w:val="3705366F"/>
    <w:rsid w:val="380A80EB"/>
    <w:rsid w:val="381168FC"/>
    <w:rsid w:val="38178DFB"/>
    <w:rsid w:val="390D5069"/>
    <w:rsid w:val="3923117F"/>
    <w:rsid w:val="39DD6090"/>
    <w:rsid w:val="3A9727E0"/>
    <w:rsid w:val="3AF4EC98"/>
    <w:rsid w:val="3B199314"/>
    <w:rsid w:val="3B8334AB"/>
    <w:rsid w:val="3BEEEC8F"/>
    <w:rsid w:val="3C0774C8"/>
    <w:rsid w:val="3C0D99C8"/>
    <w:rsid w:val="3C553916"/>
    <w:rsid w:val="3C8F004D"/>
    <w:rsid w:val="3CB314FB"/>
    <w:rsid w:val="3CF5D841"/>
    <w:rsid w:val="3D25F91B"/>
    <w:rsid w:val="3D7D846F"/>
    <w:rsid w:val="3E2D61DA"/>
    <w:rsid w:val="3E49A529"/>
    <w:rsid w:val="3EE79F49"/>
    <w:rsid w:val="3F0B73CC"/>
    <w:rsid w:val="3F29349D"/>
    <w:rsid w:val="3F8BF36F"/>
    <w:rsid w:val="3FE090E2"/>
    <w:rsid w:val="405D1373"/>
    <w:rsid w:val="406CDABD"/>
    <w:rsid w:val="40C5B5CF"/>
    <w:rsid w:val="40FA289C"/>
    <w:rsid w:val="4106739E"/>
    <w:rsid w:val="4109B316"/>
    <w:rsid w:val="4114D6BA"/>
    <w:rsid w:val="413843F6"/>
    <w:rsid w:val="4152B80D"/>
    <w:rsid w:val="41F04127"/>
    <w:rsid w:val="4209CB52"/>
    <w:rsid w:val="4249D6A8"/>
    <w:rsid w:val="42943F71"/>
    <w:rsid w:val="42A03E98"/>
    <w:rsid w:val="434A1C89"/>
    <w:rsid w:val="43D33D5C"/>
    <w:rsid w:val="44452C21"/>
    <w:rsid w:val="45633F75"/>
    <w:rsid w:val="4574A437"/>
    <w:rsid w:val="466522D1"/>
    <w:rsid w:val="47231BDF"/>
    <w:rsid w:val="48195CA1"/>
    <w:rsid w:val="48969CAC"/>
    <w:rsid w:val="48A13A47"/>
    <w:rsid w:val="48E38156"/>
    <w:rsid w:val="49108E4D"/>
    <w:rsid w:val="4928C885"/>
    <w:rsid w:val="495129E2"/>
    <w:rsid w:val="498280C3"/>
    <w:rsid w:val="49E6E688"/>
    <w:rsid w:val="4A085146"/>
    <w:rsid w:val="4A23DF34"/>
    <w:rsid w:val="4AAB4D3D"/>
    <w:rsid w:val="4ABF526F"/>
    <w:rsid w:val="4B94ADBC"/>
    <w:rsid w:val="4BAE6A9C"/>
    <w:rsid w:val="4BED8B7A"/>
    <w:rsid w:val="4C23630B"/>
    <w:rsid w:val="4C418B51"/>
    <w:rsid w:val="4C4F2EEE"/>
    <w:rsid w:val="4CCF12C2"/>
    <w:rsid w:val="4D0A10A5"/>
    <w:rsid w:val="4D2E48BF"/>
    <w:rsid w:val="4D92B395"/>
    <w:rsid w:val="4D92E9C9"/>
    <w:rsid w:val="4DAC83CD"/>
    <w:rsid w:val="4E156161"/>
    <w:rsid w:val="4E36B338"/>
    <w:rsid w:val="4E57B62C"/>
    <w:rsid w:val="4ED3937A"/>
    <w:rsid w:val="4F213D77"/>
    <w:rsid w:val="4F4E016A"/>
    <w:rsid w:val="506BC60B"/>
    <w:rsid w:val="510EC9C1"/>
    <w:rsid w:val="51A28D11"/>
    <w:rsid w:val="51A6DE20"/>
    <w:rsid w:val="51E5736D"/>
    <w:rsid w:val="51E7CC68"/>
    <w:rsid w:val="52595680"/>
    <w:rsid w:val="52D80CA7"/>
    <w:rsid w:val="536063B9"/>
    <w:rsid w:val="536D1646"/>
    <w:rsid w:val="537D8CCA"/>
    <w:rsid w:val="53952904"/>
    <w:rsid w:val="53BDF935"/>
    <w:rsid w:val="53D5653D"/>
    <w:rsid w:val="543AA84E"/>
    <w:rsid w:val="549D7E3B"/>
    <w:rsid w:val="54B3B0C4"/>
    <w:rsid w:val="54F731EF"/>
    <w:rsid w:val="55C858D1"/>
    <w:rsid w:val="5627B6CD"/>
    <w:rsid w:val="565E0DD9"/>
    <w:rsid w:val="5768AE4C"/>
    <w:rsid w:val="57AA0495"/>
    <w:rsid w:val="57C51FA1"/>
    <w:rsid w:val="57D4BCD0"/>
    <w:rsid w:val="5804DE23"/>
    <w:rsid w:val="5854C261"/>
    <w:rsid w:val="586DE5C8"/>
    <w:rsid w:val="59051AFD"/>
    <w:rsid w:val="590C2C04"/>
    <w:rsid w:val="59515DED"/>
    <w:rsid w:val="595E50C4"/>
    <w:rsid w:val="5AD51687"/>
    <w:rsid w:val="5B3944BE"/>
    <w:rsid w:val="5C08ED60"/>
    <w:rsid w:val="5C857B44"/>
    <w:rsid w:val="5C903189"/>
    <w:rsid w:val="5CE1F01C"/>
    <w:rsid w:val="5CFA3937"/>
    <w:rsid w:val="5D057C0B"/>
    <w:rsid w:val="5D383E9B"/>
    <w:rsid w:val="5D75ED4D"/>
    <w:rsid w:val="5DADC4DA"/>
    <w:rsid w:val="5E3CADFD"/>
    <w:rsid w:val="5E4A61B3"/>
    <w:rsid w:val="5EC3D8FB"/>
    <w:rsid w:val="5EFEE9DA"/>
    <w:rsid w:val="5F8BAC6F"/>
    <w:rsid w:val="5F9FAD76"/>
    <w:rsid w:val="60A47AF1"/>
    <w:rsid w:val="60E7671A"/>
    <w:rsid w:val="60FE0069"/>
    <w:rsid w:val="61497E7F"/>
    <w:rsid w:val="61A15D7A"/>
    <w:rsid w:val="61A20EDA"/>
    <w:rsid w:val="61B034B3"/>
    <w:rsid w:val="61D8AB2E"/>
    <w:rsid w:val="61F69650"/>
    <w:rsid w:val="62879710"/>
    <w:rsid w:val="6296ACAB"/>
    <w:rsid w:val="62C9816A"/>
    <w:rsid w:val="63124431"/>
    <w:rsid w:val="63870A32"/>
    <w:rsid w:val="639C0676"/>
    <w:rsid w:val="6429CE88"/>
    <w:rsid w:val="64626C9E"/>
    <w:rsid w:val="6476F576"/>
    <w:rsid w:val="6574DF7D"/>
    <w:rsid w:val="659E8794"/>
    <w:rsid w:val="6628BFF6"/>
    <w:rsid w:val="66694D76"/>
    <w:rsid w:val="66F2F48E"/>
    <w:rsid w:val="67881466"/>
    <w:rsid w:val="681F7A4B"/>
    <w:rsid w:val="68EBEDCE"/>
    <w:rsid w:val="696F10DE"/>
    <w:rsid w:val="69CCB7AA"/>
    <w:rsid w:val="6A190F88"/>
    <w:rsid w:val="6AA3B30E"/>
    <w:rsid w:val="6B2720BB"/>
    <w:rsid w:val="6B6E0D4C"/>
    <w:rsid w:val="6BC43FD3"/>
    <w:rsid w:val="6BF04140"/>
    <w:rsid w:val="6CB1250D"/>
    <w:rsid w:val="6CEBD023"/>
    <w:rsid w:val="6D06507F"/>
    <w:rsid w:val="6D74AC8E"/>
    <w:rsid w:val="6D891A4D"/>
    <w:rsid w:val="6DAB24BB"/>
    <w:rsid w:val="6E335ACD"/>
    <w:rsid w:val="6E6791F7"/>
    <w:rsid w:val="6E9CCD22"/>
    <w:rsid w:val="6E9DF553"/>
    <w:rsid w:val="6EBF61A5"/>
    <w:rsid w:val="6F4AA651"/>
    <w:rsid w:val="6F907DFC"/>
    <w:rsid w:val="7053F855"/>
    <w:rsid w:val="70AA21E6"/>
    <w:rsid w:val="70D50C2B"/>
    <w:rsid w:val="713671B1"/>
    <w:rsid w:val="718FE136"/>
    <w:rsid w:val="71AA52B6"/>
    <w:rsid w:val="723800BA"/>
    <w:rsid w:val="72B58CFD"/>
    <w:rsid w:val="73747E47"/>
    <w:rsid w:val="7530DA5D"/>
    <w:rsid w:val="75644520"/>
    <w:rsid w:val="764D5CA7"/>
    <w:rsid w:val="76C6E368"/>
    <w:rsid w:val="77AC2DE0"/>
    <w:rsid w:val="77FF85BD"/>
    <w:rsid w:val="78544BCF"/>
    <w:rsid w:val="78ECDCDC"/>
    <w:rsid w:val="7921D33F"/>
    <w:rsid w:val="7A00B47B"/>
    <w:rsid w:val="7A24580F"/>
    <w:rsid w:val="7B2366A1"/>
    <w:rsid w:val="7B49302E"/>
    <w:rsid w:val="7B5FEE5D"/>
    <w:rsid w:val="7B6DFC87"/>
    <w:rsid w:val="7C0658F3"/>
    <w:rsid w:val="7C14A0D4"/>
    <w:rsid w:val="7C58D207"/>
    <w:rsid w:val="7C5D8D89"/>
    <w:rsid w:val="7C7B16AB"/>
    <w:rsid w:val="7CA511EB"/>
    <w:rsid w:val="7D09A7B4"/>
    <w:rsid w:val="7D601F3A"/>
    <w:rsid w:val="7D90378E"/>
    <w:rsid w:val="7E0E96C5"/>
    <w:rsid w:val="7E6436AA"/>
    <w:rsid w:val="7F033A92"/>
    <w:rsid w:val="7F1869D6"/>
    <w:rsid w:val="7FAE477D"/>
    <w:rsid w:val="7FD1917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21FF"/>
    <w:pPr>
      <w:spacing w:after="0" w:line="240" w:lineRule="auto"/>
    </w:pPr>
    <w:rPr>
      <w:rFonts w:ascii="Times New Roman" w:eastAsia="Times New Roman" w:hAnsi="Times New Roman" w:cs="Times New Roman"/>
      <w:kern w:val="0"/>
      <w:sz w:val="24"/>
      <w:szCs w:val="24"/>
      <w:lang w:val="es-ES" w:eastAsia="es-ES_tradnl"/>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paragraph" w:customStyle="1" w:styleId="Default">
    <w:name w:val="Default"/>
    <w:rsid w:val="00E21221"/>
    <w:pPr>
      <w:autoSpaceDE w:val="0"/>
      <w:autoSpaceDN w:val="0"/>
      <w:adjustRightInd w:val="0"/>
      <w:spacing w:after="0" w:line="240" w:lineRule="auto"/>
    </w:pPr>
    <w:rPr>
      <w:rFonts w:ascii="Arial" w:eastAsia="Calibri" w:hAnsi="Arial" w:cs="Arial"/>
      <w:color w:val="000000"/>
      <w:kern w:val="0"/>
      <w:sz w:val="24"/>
      <w:szCs w:val="24"/>
      <w:lang w:eastAsia="es-CO"/>
      <w14:ligatures w14:val="none"/>
    </w:rPr>
  </w:style>
  <w:style w:type="paragraph" w:styleId="Textoindependiente">
    <w:name w:val="Body Text"/>
    <w:basedOn w:val="Normal"/>
    <w:link w:val="TextoindependienteCar"/>
    <w:uiPriority w:val="1"/>
    <w:qFormat/>
    <w:rsid w:val="00E21221"/>
    <w:pPr>
      <w:widowControl w:val="0"/>
      <w:autoSpaceDE w:val="0"/>
      <w:autoSpaceDN w:val="0"/>
    </w:pPr>
    <w:rPr>
      <w:rFonts w:ascii="Arial MT" w:eastAsia="Arial MT" w:hAnsi="Arial MT" w:cs="Arial MT"/>
    </w:rPr>
  </w:style>
  <w:style w:type="character" w:customStyle="1" w:styleId="TextoindependienteCar">
    <w:name w:val="Texto independiente Car"/>
    <w:basedOn w:val="Fuentedeprrafopredeter"/>
    <w:link w:val="Textoindependiente"/>
    <w:uiPriority w:val="1"/>
    <w:rsid w:val="00E21221"/>
    <w:rPr>
      <w:rFonts w:ascii="Arial MT" w:eastAsia="Arial MT" w:hAnsi="Arial MT" w:cs="Arial MT"/>
      <w:kern w:val="0"/>
      <w:sz w:val="24"/>
      <w:szCs w:val="24"/>
      <w:lang w:val="es-ES"/>
      <w14:ligatures w14:val="none"/>
    </w:rPr>
  </w:style>
  <w:style w:type="paragraph" w:styleId="Textonotapie">
    <w:name w:val="footnote text"/>
    <w:basedOn w:val="Normal"/>
    <w:link w:val="TextonotapieCar"/>
    <w:uiPriority w:val="99"/>
    <w:unhideWhenUsed/>
    <w:rsid w:val="005E307C"/>
    <w:rPr>
      <w:sz w:val="20"/>
      <w:szCs w:val="20"/>
    </w:rPr>
  </w:style>
  <w:style w:type="character" w:customStyle="1" w:styleId="TextonotapieCar">
    <w:name w:val="Texto nota pie Car"/>
    <w:basedOn w:val="Fuentedeprrafopredeter"/>
    <w:link w:val="Textonotapie"/>
    <w:uiPriority w:val="99"/>
    <w:rsid w:val="005E307C"/>
    <w:rPr>
      <w:sz w:val="20"/>
      <w:szCs w:val="20"/>
    </w:rPr>
  </w:style>
  <w:style w:type="character" w:styleId="Refdenotaalpie">
    <w:name w:val="footnote reference"/>
    <w:basedOn w:val="Fuentedeprrafopredeter"/>
    <w:uiPriority w:val="99"/>
    <w:semiHidden/>
    <w:unhideWhenUsed/>
    <w:rsid w:val="005E307C"/>
    <w:rPr>
      <w:vertAlign w:val="superscript"/>
    </w:rPr>
  </w:style>
  <w:style w:type="paragraph" w:styleId="NormalWeb">
    <w:name w:val="Normal (Web)"/>
    <w:basedOn w:val="Normal"/>
    <w:uiPriority w:val="99"/>
    <w:unhideWhenUsed/>
    <w:rsid w:val="005152F3"/>
  </w:style>
  <w:style w:type="character" w:styleId="Mencinsinresolver">
    <w:name w:val="Unresolved Mention"/>
    <w:basedOn w:val="Fuentedeprrafopredeter"/>
    <w:uiPriority w:val="99"/>
    <w:semiHidden/>
    <w:unhideWhenUsed/>
    <w:rsid w:val="00457003"/>
    <w:rPr>
      <w:color w:val="605E5C"/>
      <w:shd w:val="clear" w:color="auto" w:fill="E1DFDD"/>
    </w:rPr>
  </w:style>
  <w:style w:type="paragraph" w:customStyle="1" w:styleId="p1">
    <w:name w:val="p1"/>
    <w:basedOn w:val="Normal"/>
    <w:rsid w:val="001A4822"/>
    <w:rPr>
      <w:rFonts w:ascii="Helvetica" w:hAnsi="Helvetica"/>
      <w:color w:val="000000"/>
      <w:sz w:val="17"/>
      <w:szCs w:val="17"/>
      <w:lang w:eastAsia="en-GB"/>
    </w:rPr>
  </w:style>
  <w:style w:type="table" w:styleId="Tablaconcuadrcula">
    <w:name w:val="Table Grid"/>
    <w:basedOn w:val="Tablanormal"/>
    <w:uiPriority w:val="39"/>
    <w:rsid w:val="00D607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reenreaderfriendlyhiddentag-391">
    <w:name w:val="screenreaderfriendlyhiddentag-391"/>
    <w:basedOn w:val="Fuentedeprrafopredeter"/>
    <w:rsid w:val="00913D6A"/>
  </w:style>
  <w:style w:type="character" w:styleId="Hipervnculovisitado">
    <w:name w:val="FollowedHyperlink"/>
    <w:basedOn w:val="Fuentedeprrafopredeter"/>
    <w:uiPriority w:val="99"/>
    <w:semiHidden/>
    <w:unhideWhenUsed/>
    <w:rsid w:val="008F3FBA"/>
    <w:rPr>
      <w:color w:val="954F72" w:themeColor="followedHyperlink"/>
      <w:u w:val="single"/>
    </w:rPr>
  </w:style>
  <w:style w:type="paragraph" w:customStyle="1" w:styleId="p2">
    <w:name w:val="p2"/>
    <w:basedOn w:val="Normal"/>
    <w:rsid w:val="00866D18"/>
    <w:rPr>
      <w:rFonts w:ascii="Verdana" w:hAnsi="Verdana"/>
      <w:color w:val="0A0A0A"/>
      <w:sz w:val="18"/>
      <w:szCs w:val="18"/>
    </w:rPr>
  </w:style>
  <w:style w:type="character" w:customStyle="1" w:styleId="s1">
    <w:name w:val="s1"/>
    <w:basedOn w:val="Fuentedeprrafopredeter"/>
    <w:rsid w:val="00866D18"/>
    <w:rPr>
      <w:color w:val="000000"/>
    </w:rPr>
  </w:style>
  <w:style w:type="paragraph" w:customStyle="1" w:styleId="p3">
    <w:name w:val="p3"/>
    <w:basedOn w:val="Normal"/>
    <w:rsid w:val="00866D18"/>
    <w:rPr>
      <w:rFonts w:ascii="Verdana" w:hAnsi="Verdana"/>
      <w:color w:val="0A0A0A"/>
      <w:sz w:val="18"/>
      <w:szCs w:val="18"/>
    </w:rPr>
  </w:style>
  <w:style w:type="character" w:customStyle="1" w:styleId="s2">
    <w:name w:val="s2"/>
    <w:basedOn w:val="Fuentedeprrafopredeter"/>
    <w:rsid w:val="00866D18"/>
    <w:rPr>
      <w:color w:val="011628"/>
    </w:rPr>
  </w:style>
  <w:style w:type="character" w:customStyle="1" w:styleId="s3">
    <w:name w:val="s3"/>
    <w:basedOn w:val="Fuentedeprrafopredeter"/>
    <w:rsid w:val="00866D18"/>
    <w:rPr>
      <w:color w:val="0A0A0A"/>
    </w:rPr>
  </w:style>
  <w:style w:type="paragraph" w:styleId="Revisin">
    <w:name w:val="Revision"/>
    <w:hidden/>
    <w:uiPriority w:val="99"/>
    <w:semiHidden/>
    <w:rsid w:val="00984D23"/>
    <w:pPr>
      <w:spacing w:after="0" w:line="240" w:lineRule="auto"/>
    </w:pPr>
    <w:rPr>
      <w:rFonts w:ascii="Times New Roman" w:eastAsia="Times New Roman" w:hAnsi="Times New Roman" w:cs="Times New Roman"/>
      <w:kern w:val="0"/>
      <w:sz w:val="24"/>
      <w:szCs w:val="24"/>
      <w:lang w:val="es-ES" w:eastAsia="es-ES_trad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5717">
      <w:bodyDiv w:val="1"/>
      <w:marLeft w:val="0"/>
      <w:marRight w:val="0"/>
      <w:marTop w:val="0"/>
      <w:marBottom w:val="0"/>
      <w:divBdr>
        <w:top w:val="none" w:sz="0" w:space="0" w:color="auto"/>
        <w:left w:val="none" w:sz="0" w:space="0" w:color="auto"/>
        <w:bottom w:val="none" w:sz="0" w:space="0" w:color="auto"/>
        <w:right w:val="none" w:sz="0" w:space="0" w:color="auto"/>
      </w:divBdr>
      <w:divsChild>
        <w:div w:id="1369254291">
          <w:marLeft w:val="0"/>
          <w:marRight w:val="0"/>
          <w:marTop w:val="0"/>
          <w:marBottom w:val="0"/>
          <w:divBdr>
            <w:top w:val="none" w:sz="0" w:space="0" w:color="auto"/>
            <w:left w:val="none" w:sz="0" w:space="0" w:color="auto"/>
            <w:bottom w:val="none" w:sz="0" w:space="0" w:color="auto"/>
            <w:right w:val="none" w:sz="0" w:space="0" w:color="auto"/>
          </w:divBdr>
          <w:divsChild>
            <w:div w:id="1419328405">
              <w:marLeft w:val="0"/>
              <w:marRight w:val="0"/>
              <w:marTop w:val="0"/>
              <w:marBottom w:val="0"/>
              <w:divBdr>
                <w:top w:val="none" w:sz="0" w:space="0" w:color="auto"/>
                <w:left w:val="none" w:sz="0" w:space="0" w:color="auto"/>
                <w:bottom w:val="none" w:sz="0" w:space="0" w:color="auto"/>
                <w:right w:val="none" w:sz="0" w:space="0" w:color="auto"/>
              </w:divBdr>
              <w:divsChild>
                <w:div w:id="8153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600834">
      <w:bodyDiv w:val="1"/>
      <w:marLeft w:val="0"/>
      <w:marRight w:val="0"/>
      <w:marTop w:val="0"/>
      <w:marBottom w:val="0"/>
      <w:divBdr>
        <w:top w:val="none" w:sz="0" w:space="0" w:color="auto"/>
        <w:left w:val="none" w:sz="0" w:space="0" w:color="auto"/>
        <w:bottom w:val="none" w:sz="0" w:space="0" w:color="auto"/>
        <w:right w:val="none" w:sz="0" w:space="0" w:color="auto"/>
      </w:divBdr>
      <w:divsChild>
        <w:div w:id="1430541465">
          <w:marLeft w:val="0"/>
          <w:marRight w:val="0"/>
          <w:marTop w:val="0"/>
          <w:marBottom w:val="0"/>
          <w:divBdr>
            <w:top w:val="none" w:sz="0" w:space="0" w:color="auto"/>
            <w:left w:val="none" w:sz="0" w:space="0" w:color="auto"/>
            <w:bottom w:val="none" w:sz="0" w:space="0" w:color="auto"/>
            <w:right w:val="none" w:sz="0" w:space="0" w:color="auto"/>
          </w:divBdr>
          <w:divsChild>
            <w:div w:id="500662026">
              <w:marLeft w:val="0"/>
              <w:marRight w:val="0"/>
              <w:marTop w:val="0"/>
              <w:marBottom w:val="0"/>
              <w:divBdr>
                <w:top w:val="none" w:sz="0" w:space="0" w:color="auto"/>
                <w:left w:val="none" w:sz="0" w:space="0" w:color="auto"/>
                <w:bottom w:val="none" w:sz="0" w:space="0" w:color="auto"/>
                <w:right w:val="none" w:sz="0" w:space="0" w:color="auto"/>
              </w:divBdr>
              <w:divsChild>
                <w:div w:id="98527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023550">
      <w:bodyDiv w:val="1"/>
      <w:marLeft w:val="0"/>
      <w:marRight w:val="0"/>
      <w:marTop w:val="0"/>
      <w:marBottom w:val="0"/>
      <w:divBdr>
        <w:top w:val="none" w:sz="0" w:space="0" w:color="auto"/>
        <w:left w:val="none" w:sz="0" w:space="0" w:color="auto"/>
        <w:bottom w:val="none" w:sz="0" w:space="0" w:color="auto"/>
        <w:right w:val="none" w:sz="0" w:space="0" w:color="auto"/>
      </w:divBdr>
      <w:divsChild>
        <w:div w:id="947275241">
          <w:marLeft w:val="0"/>
          <w:marRight w:val="0"/>
          <w:marTop w:val="0"/>
          <w:marBottom w:val="0"/>
          <w:divBdr>
            <w:top w:val="none" w:sz="0" w:space="0" w:color="auto"/>
            <w:left w:val="none" w:sz="0" w:space="0" w:color="auto"/>
            <w:bottom w:val="none" w:sz="0" w:space="0" w:color="auto"/>
            <w:right w:val="none" w:sz="0" w:space="0" w:color="auto"/>
          </w:divBdr>
          <w:divsChild>
            <w:div w:id="198320595">
              <w:marLeft w:val="0"/>
              <w:marRight w:val="0"/>
              <w:marTop w:val="0"/>
              <w:marBottom w:val="0"/>
              <w:divBdr>
                <w:top w:val="none" w:sz="0" w:space="0" w:color="auto"/>
                <w:left w:val="none" w:sz="0" w:space="0" w:color="auto"/>
                <w:bottom w:val="none" w:sz="0" w:space="0" w:color="auto"/>
                <w:right w:val="none" w:sz="0" w:space="0" w:color="auto"/>
              </w:divBdr>
              <w:divsChild>
                <w:div w:id="490826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134925">
          <w:marLeft w:val="0"/>
          <w:marRight w:val="0"/>
          <w:marTop w:val="0"/>
          <w:marBottom w:val="0"/>
          <w:divBdr>
            <w:top w:val="none" w:sz="0" w:space="0" w:color="auto"/>
            <w:left w:val="none" w:sz="0" w:space="0" w:color="auto"/>
            <w:bottom w:val="none" w:sz="0" w:space="0" w:color="auto"/>
            <w:right w:val="none" w:sz="0" w:space="0" w:color="auto"/>
          </w:divBdr>
          <w:divsChild>
            <w:div w:id="1804426312">
              <w:marLeft w:val="0"/>
              <w:marRight w:val="0"/>
              <w:marTop w:val="0"/>
              <w:marBottom w:val="0"/>
              <w:divBdr>
                <w:top w:val="none" w:sz="0" w:space="0" w:color="auto"/>
                <w:left w:val="none" w:sz="0" w:space="0" w:color="auto"/>
                <w:bottom w:val="none" w:sz="0" w:space="0" w:color="auto"/>
                <w:right w:val="none" w:sz="0" w:space="0" w:color="auto"/>
              </w:divBdr>
              <w:divsChild>
                <w:div w:id="490565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24206">
      <w:bodyDiv w:val="1"/>
      <w:marLeft w:val="0"/>
      <w:marRight w:val="0"/>
      <w:marTop w:val="0"/>
      <w:marBottom w:val="0"/>
      <w:divBdr>
        <w:top w:val="none" w:sz="0" w:space="0" w:color="auto"/>
        <w:left w:val="none" w:sz="0" w:space="0" w:color="auto"/>
        <w:bottom w:val="none" w:sz="0" w:space="0" w:color="auto"/>
        <w:right w:val="none" w:sz="0" w:space="0" w:color="auto"/>
      </w:divBdr>
      <w:divsChild>
        <w:div w:id="437721413">
          <w:marLeft w:val="0"/>
          <w:marRight w:val="0"/>
          <w:marTop w:val="0"/>
          <w:marBottom w:val="0"/>
          <w:divBdr>
            <w:top w:val="none" w:sz="0" w:space="0" w:color="auto"/>
            <w:left w:val="none" w:sz="0" w:space="0" w:color="auto"/>
            <w:bottom w:val="none" w:sz="0" w:space="0" w:color="auto"/>
            <w:right w:val="none" w:sz="0" w:space="0" w:color="auto"/>
          </w:divBdr>
          <w:divsChild>
            <w:div w:id="820078973">
              <w:marLeft w:val="0"/>
              <w:marRight w:val="0"/>
              <w:marTop w:val="0"/>
              <w:marBottom w:val="0"/>
              <w:divBdr>
                <w:top w:val="none" w:sz="0" w:space="0" w:color="auto"/>
                <w:left w:val="none" w:sz="0" w:space="0" w:color="auto"/>
                <w:bottom w:val="none" w:sz="0" w:space="0" w:color="auto"/>
                <w:right w:val="none" w:sz="0" w:space="0" w:color="auto"/>
              </w:divBdr>
              <w:divsChild>
                <w:div w:id="1591160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7848">
      <w:bodyDiv w:val="1"/>
      <w:marLeft w:val="0"/>
      <w:marRight w:val="0"/>
      <w:marTop w:val="0"/>
      <w:marBottom w:val="0"/>
      <w:divBdr>
        <w:top w:val="none" w:sz="0" w:space="0" w:color="auto"/>
        <w:left w:val="none" w:sz="0" w:space="0" w:color="auto"/>
        <w:bottom w:val="none" w:sz="0" w:space="0" w:color="auto"/>
        <w:right w:val="none" w:sz="0" w:space="0" w:color="auto"/>
      </w:divBdr>
      <w:divsChild>
        <w:div w:id="818032690">
          <w:marLeft w:val="0"/>
          <w:marRight w:val="0"/>
          <w:marTop w:val="0"/>
          <w:marBottom w:val="0"/>
          <w:divBdr>
            <w:top w:val="none" w:sz="0" w:space="0" w:color="auto"/>
            <w:left w:val="none" w:sz="0" w:space="0" w:color="auto"/>
            <w:bottom w:val="none" w:sz="0" w:space="0" w:color="auto"/>
            <w:right w:val="none" w:sz="0" w:space="0" w:color="auto"/>
          </w:divBdr>
          <w:divsChild>
            <w:div w:id="1451240385">
              <w:marLeft w:val="0"/>
              <w:marRight w:val="0"/>
              <w:marTop w:val="0"/>
              <w:marBottom w:val="0"/>
              <w:divBdr>
                <w:top w:val="none" w:sz="0" w:space="0" w:color="auto"/>
                <w:left w:val="none" w:sz="0" w:space="0" w:color="auto"/>
                <w:bottom w:val="none" w:sz="0" w:space="0" w:color="auto"/>
                <w:right w:val="none" w:sz="0" w:space="0" w:color="auto"/>
              </w:divBdr>
              <w:divsChild>
                <w:div w:id="2047949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82242">
      <w:bodyDiv w:val="1"/>
      <w:marLeft w:val="0"/>
      <w:marRight w:val="0"/>
      <w:marTop w:val="0"/>
      <w:marBottom w:val="0"/>
      <w:divBdr>
        <w:top w:val="none" w:sz="0" w:space="0" w:color="auto"/>
        <w:left w:val="none" w:sz="0" w:space="0" w:color="auto"/>
        <w:bottom w:val="none" w:sz="0" w:space="0" w:color="auto"/>
        <w:right w:val="none" w:sz="0" w:space="0" w:color="auto"/>
      </w:divBdr>
      <w:divsChild>
        <w:div w:id="832600650">
          <w:marLeft w:val="0"/>
          <w:marRight w:val="0"/>
          <w:marTop w:val="0"/>
          <w:marBottom w:val="0"/>
          <w:divBdr>
            <w:top w:val="none" w:sz="0" w:space="0" w:color="auto"/>
            <w:left w:val="none" w:sz="0" w:space="0" w:color="auto"/>
            <w:bottom w:val="none" w:sz="0" w:space="0" w:color="auto"/>
            <w:right w:val="none" w:sz="0" w:space="0" w:color="auto"/>
          </w:divBdr>
          <w:divsChild>
            <w:div w:id="8413132">
              <w:marLeft w:val="0"/>
              <w:marRight w:val="0"/>
              <w:marTop w:val="0"/>
              <w:marBottom w:val="0"/>
              <w:divBdr>
                <w:top w:val="none" w:sz="0" w:space="0" w:color="auto"/>
                <w:left w:val="none" w:sz="0" w:space="0" w:color="auto"/>
                <w:bottom w:val="none" w:sz="0" w:space="0" w:color="auto"/>
                <w:right w:val="none" w:sz="0" w:space="0" w:color="auto"/>
              </w:divBdr>
              <w:divsChild>
                <w:div w:id="1384866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60749">
      <w:bodyDiv w:val="1"/>
      <w:marLeft w:val="0"/>
      <w:marRight w:val="0"/>
      <w:marTop w:val="0"/>
      <w:marBottom w:val="0"/>
      <w:divBdr>
        <w:top w:val="none" w:sz="0" w:space="0" w:color="auto"/>
        <w:left w:val="none" w:sz="0" w:space="0" w:color="auto"/>
        <w:bottom w:val="none" w:sz="0" w:space="0" w:color="auto"/>
        <w:right w:val="none" w:sz="0" w:space="0" w:color="auto"/>
      </w:divBdr>
      <w:divsChild>
        <w:div w:id="909265885">
          <w:marLeft w:val="0"/>
          <w:marRight w:val="0"/>
          <w:marTop w:val="0"/>
          <w:marBottom w:val="0"/>
          <w:divBdr>
            <w:top w:val="none" w:sz="0" w:space="0" w:color="auto"/>
            <w:left w:val="none" w:sz="0" w:space="0" w:color="auto"/>
            <w:bottom w:val="none" w:sz="0" w:space="0" w:color="auto"/>
            <w:right w:val="none" w:sz="0" w:space="0" w:color="auto"/>
          </w:divBdr>
          <w:divsChild>
            <w:div w:id="830288701">
              <w:marLeft w:val="0"/>
              <w:marRight w:val="0"/>
              <w:marTop w:val="0"/>
              <w:marBottom w:val="0"/>
              <w:divBdr>
                <w:top w:val="none" w:sz="0" w:space="0" w:color="auto"/>
                <w:left w:val="none" w:sz="0" w:space="0" w:color="auto"/>
                <w:bottom w:val="none" w:sz="0" w:space="0" w:color="auto"/>
                <w:right w:val="none" w:sz="0" w:space="0" w:color="auto"/>
              </w:divBdr>
              <w:divsChild>
                <w:div w:id="263997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58165">
      <w:bodyDiv w:val="1"/>
      <w:marLeft w:val="0"/>
      <w:marRight w:val="0"/>
      <w:marTop w:val="0"/>
      <w:marBottom w:val="0"/>
      <w:divBdr>
        <w:top w:val="none" w:sz="0" w:space="0" w:color="auto"/>
        <w:left w:val="none" w:sz="0" w:space="0" w:color="auto"/>
        <w:bottom w:val="none" w:sz="0" w:space="0" w:color="auto"/>
        <w:right w:val="none" w:sz="0" w:space="0" w:color="auto"/>
      </w:divBdr>
      <w:divsChild>
        <w:div w:id="434446385">
          <w:marLeft w:val="0"/>
          <w:marRight w:val="0"/>
          <w:marTop w:val="0"/>
          <w:marBottom w:val="0"/>
          <w:divBdr>
            <w:top w:val="none" w:sz="0" w:space="0" w:color="auto"/>
            <w:left w:val="none" w:sz="0" w:space="0" w:color="auto"/>
            <w:bottom w:val="none" w:sz="0" w:space="0" w:color="auto"/>
            <w:right w:val="none" w:sz="0" w:space="0" w:color="auto"/>
          </w:divBdr>
          <w:divsChild>
            <w:div w:id="2082822991">
              <w:marLeft w:val="0"/>
              <w:marRight w:val="0"/>
              <w:marTop w:val="0"/>
              <w:marBottom w:val="0"/>
              <w:divBdr>
                <w:top w:val="none" w:sz="0" w:space="0" w:color="auto"/>
                <w:left w:val="none" w:sz="0" w:space="0" w:color="auto"/>
                <w:bottom w:val="none" w:sz="0" w:space="0" w:color="auto"/>
                <w:right w:val="none" w:sz="0" w:space="0" w:color="auto"/>
              </w:divBdr>
              <w:divsChild>
                <w:div w:id="369186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302849">
      <w:bodyDiv w:val="1"/>
      <w:marLeft w:val="0"/>
      <w:marRight w:val="0"/>
      <w:marTop w:val="0"/>
      <w:marBottom w:val="0"/>
      <w:divBdr>
        <w:top w:val="none" w:sz="0" w:space="0" w:color="auto"/>
        <w:left w:val="none" w:sz="0" w:space="0" w:color="auto"/>
        <w:bottom w:val="none" w:sz="0" w:space="0" w:color="auto"/>
        <w:right w:val="none" w:sz="0" w:space="0" w:color="auto"/>
      </w:divBdr>
      <w:divsChild>
        <w:div w:id="1106002902">
          <w:marLeft w:val="0"/>
          <w:marRight w:val="0"/>
          <w:marTop w:val="0"/>
          <w:marBottom w:val="0"/>
          <w:divBdr>
            <w:top w:val="none" w:sz="0" w:space="0" w:color="auto"/>
            <w:left w:val="none" w:sz="0" w:space="0" w:color="auto"/>
            <w:bottom w:val="none" w:sz="0" w:space="0" w:color="auto"/>
            <w:right w:val="none" w:sz="0" w:space="0" w:color="auto"/>
          </w:divBdr>
          <w:divsChild>
            <w:div w:id="2090929722">
              <w:marLeft w:val="0"/>
              <w:marRight w:val="0"/>
              <w:marTop w:val="0"/>
              <w:marBottom w:val="0"/>
              <w:divBdr>
                <w:top w:val="none" w:sz="0" w:space="0" w:color="auto"/>
                <w:left w:val="none" w:sz="0" w:space="0" w:color="auto"/>
                <w:bottom w:val="none" w:sz="0" w:space="0" w:color="auto"/>
                <w:right w:val="none" w:sz="0" w:space="0" w:color="auto"/>
              </w:divBdr>
              <w:divsChild>
                <w:div w:id="529227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64839">
      <w:bodyDiv w:val="1"/>
      <w:marLeft w:val="0"/>
      <w:marRight w:val="0"/>
      <w:marTop w:val="0"/>
      <w:marBottom w:val="0"/>
      <w:divBdr>
        <w:top w:val="none" w:sz="0" w:space="0" w:color="auto"/>
        <w:left w:val="none" w:sz="0" w:space="0" w:color="auto"/>
        <w:bottom w:val="none" w:sz="0" w:space="0" w:color="auto"/>
        <w:right w:val="none" w:sz="0" w:space="0" w:color="auto"/>
      </w:divBdr>
      <w:divsChild>
        <w:div w:id="87819341">
          <w:marLeft w:val="0"/>
          <w:marRight w:val="0"/>
          <w:marTop w:val="0"/>
          <w:marBottom w:val="0"/>
          <w:divBdr>
            <w:top w:val="none" w:sz="0" w:space="0" w:color="auto"/>
            <w:left w:val="none" w:sz="0" w:space="0" w:color="auto"/>
            <w:bottom w:val="none" w:sz="0" w:space="0" w:color="auto"/>
            <w:right w:val="none" w:sz="0" w:space="0" w:color="auto"/>
          </w:divBdr>
          <w:divsChild>
            <w:div w:id="928395121">
              <w:marLeft w:val="0"/>
              <w:marRight w:val="0"/>
              <w:marTop w:val="0"/>
              <w:marBottom w:val="0"/>
              <w:divBdr>
                <w:top w:val="none" w:sz="0" w:space="0" w:color="auto"/>
                <w:left w:val="none" w:sz="0" w:space="0" w:color="auto"/>
                <w:bottom w:val="none" w:sz="0" w:space="0" w:color="auto"/>
                <w:right w:val="none" w:sz="0" w:space="0" w:color="auto"/>
              </w:divBdr>
              <w:divsChild>
                <w:div w:id="757407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44834">
      <w:bodyDiv w:val="1"/>
      <w:marLeft w:val="0"/>
      <w:marRight w:val="0"/>
      <w:marTop w:val="0"/>
      <w:marBottom w:val="0"/>
      <w:divBdr>
        <w:top w:val="none" w:sz="0" w:space="0" w:color="auto"/>
        <w:left w:val="none" w:sz="0" w:space="0" w:color="auto"/>
        <w:bottom w:val="none" w:sz="0" w:space="0" w:color="auto"/>
        <w:right w:val="none" w:sz="0" w:space="0" w:color="auto"/>
      </w:divBdr>
      <w:divsChild>
        <w:div w:id="2064862741">
          <w:marLeft w:val="0"/>
          <w:marRight w:val="0"/>
          <w:marTop w:val="0"/>
          <w:marBottom w:val="0"/>
          <w:divBdr>
            <w:top w:val="none" w:sz="0" w:space="0" w:color="auto"/>
            <w:left w:val="none" w:sz="0" w:space="0" w:color="auto"/>
            <w:bottom w:val="none" w:sz="0" w:space="0" w:color="auto"/>
            <w:right w:val="none" w:sz="0" w:space="0" w:color="auto"/>
          </w:divBdr>
          <w:divsChild>
            <w:div w:id="1949584786">
              <w:marLeft w:val="0"/>
              <w:marRight w:val="0"/>
              <w:marTop w:val="0"/>
              <w:marBottom w:val="0"/>
              <w:divBdr>
                <w:top w:val="none" w:sz="0" w:space="0" w:color="auto"/>
                <w:left w:val="none" w:sz="0" w:space="0" w:color="auto"/>
                <w:bottom w:val="none" w:sz="0" w:space="0" w:color="auto"/>
                <w:right w:val="none" w:sz="0" w:space="0" w:color="auto"/>
              </w:divBdr>
              <w:divsChild>
                <w:div w:id="88945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735745">
      <w:bodyDiv w:val="1"/>
      <w:marLeft w:val="0"/>
      <w:marRight w:val="0"/>
      <w:marTop w:val="0"/>
      <w:marBottom w:val="0"/>
      <w:divBdr>
        <w:top w:val="none" w:sz="0" w:space="0" w:color="auto"/>
        <w:left w:val="none" w:sz="0" w:space="0" w:color="auto"/>
        <w:bottom w:val="none" w:sz="0" w:space="0" w:color="auto"/>
        <w:right w:val="none" w:sz="0" w:space="0" w:color="auto"/>
      </w:divBdr>
      <w:divsChild>
        <w:div w:id="1237518277">
          <w:marLeft w:val="0"/>
          <w:marRight w:val="0"/>
          <w:marTop w:val="0"/>
          <w:marBottom w:val="0"/>
          <w:divBdr>
            <w:top w:val="none" w:sz="0" w:space="0" w:color="auto"/>
            <w:left w:val="none" w:sz="0" w:space="0" w:color="auto"/>
            <w:bottom w:val="none" w:sz="0" w:space="0" w:color="auto"/>
            <w:right w:val="none" w:sz="0" w:space="0" w:color="auto"/>
          </w:divBdr>
          <w:divsChild>
            <w:div w:id="1727988037">
              <w:marLeft w:val="0"/>
              <w:marRight w:val="0"/>
              <w:marTop w:val="0"/>
              <w:marBottom w:val="0"/>
              <w:divBdr>
                <w:top w:val="none" w:sz="0" w:space="0" w:color="auto"/>
                <w:left w:val="none" w:sz="0" w:space="0" w:color="auto"/>
                <w:bottom w:val="none" w:sz="0" w:space="0" w:color="auto"/>
                <w:right w:val="none" w:sz="0" w:space="0" w:color="auto"/>
              </w:divBdr>
              <w:divsChild>
                <w:div w:id="70203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386559">
      <w:bodyDiv w:val="1"/>
      <w:marLeft w:val="0"/>
      <w:marRight w:val="0"/>
      <w:marTop w:val="0"/>
      <w:marBottom w:val="0"/>
      <w:divBdr>
        <w:top w:val="none" w:sz="0" w:space="0" w:color="auto"/>
        <w:left w:val="none" w:sz="0" w:space="0" w:color="auto"/>
        <w:bottom w:val="none" w:sz="0" w:space="0" w:color="auto"/>
        <w:right w:val="none" w:sz="0" w:space="0" w:color="auto"/>
      </w:divBdr>
      <w:divsChild>
        <w:div w:id="1380744234">
          <w:marLeft w:val="0"/>
          <w:marRight w:val="0"/>
          <w:marTop w:val="0"/>
          <w:marBottom w:val="0"/>
          <w:divBdr>
            <w:top w:val="none" w:sz="0" w:space="0" w:color="auto"/>
            <w:left w:val="none" w:sz="0" w:space="0" w:color="auto"/>
            <w:bottom w:val="none" w:sz="0" w:space="0" w:color="auto"/>
            <w:right w:val="none" w:sz="0" w:space="0" w:color="auto"/>
          </w:divBdr>
          <w:divsChild>
            <w:div w:id="1636334779">
              <w:marLeft w:val="0"/>
              <w:marRight w:val="0"/>
              <w:marTop w:val="0"/>
              <w:marBottom w:val="0"/>
              <w:divBdr>
                <w:top w:val="none" w:sz="0" w:space="0" w:color="auto"/>
                <w:left w:val="none" w:sz="0" w:space="0" w:color="auto"/>
                <w:bottom w:val="none" w:sz="0" w:space="0" w:color="auto"/>
                <w:right w:val="none" w:sz="0" w:space="0" w:color="auto"/>
              </w:divBdr>
              <w:divsChild>
                <w:div w:id="131367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7444182">
      <w:bodyDiv w:val="1"/>
      <w:marLeft w:val="0"/>
      <w:marRight w:val="0"/>
      <w:marTop w:val="0"/>
      <w:marBottom w:val="0"/>
      <w:divBdr>
        <w:top w:val="none" w:sz="0" w:space="0" w:color="auto"/>
        <w:left w:val="none" w:sz="0" w:space="0" w:color="auto"/>
        <w:bottom w:val="none" w:sz="0" w:space="0" w:color="auto"/>
        <w:right w:val="none" w:sz="0" w:space="0" w:color="auto"/>
      </w:divBdr>
      <w:divsChild>
        <w:div w:id="2117358144">
          <w:marLeft w:val="0"/>
          <w:marRight w:val="0"/>
          <w:marTop w:val="0"/>
          <w:marBottom w:val="0"/>
          <w:divBdr>
            <w:top w:val="none" w:sz="0" w:space="0" w:color="auto"/>
            <w:left w:val="none" w:sz="0" w:space="0" w:color="auto"/>
            <w:bottom w:val="none" w:sz="0" w:space="0" w:color="auto"/>
            <w:right w:val="none" w:sz="0" w:space="0" w:color="auto"/>
          </w:divBdr>
          <w:divsChild>
            <w:div w:id="2112821266">
              <w:marLeft w:val="0"/>
              <w:marRight w:val="0"/>
              <w:marTop w:val="0"/>
              <w:marBottom w:val="0"/>
              <w:divBdr>
                <w:top w:val="none" w:sz="0" w:space="0" w:color="auto"/>
                <w:left w:val="none" w:sz="0" w:space="0" w:color="auto"/>
                <w:bottom w:val="none" w:sz="0" w:space="0" w:color="auto"/>
                <w:right w:val="none" w:sz="0" w:space="0" w:color="auto"/>
              </w:divBdr>
              <w:divsChild>
                <w:div w:id="2115594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0182714">
      <w:bodyDiv w:val="1"/>
      <w:marLeft w:val="0"/>
      <w:marRight w:val="0"/>
      <w:marTop w:val="0"/>
      <w:marBottom w:val="0"/>
      <w:divBdr>
        <w:top w:val="none" w:sz="0" w:space="0" w:color="auto"/>
        <w:left w:val="none" w:sz="0" w:space="0" w:color="auto"/>
        <w:bottom w:val="none" w:sz="0" w:space="0" w:color="auto"/>
        <w:right w:val="none" w:sz="0" w:space="0" w:color="auto"/>
      </w:divBdr>
      <w:divsChild>
        <w:div w:id="169878177">
          <w:marLeft w:val="0"/>
          <w:marRight w:val="0"/>
          <w:marTop w:val="0"/>
          <w:marBottom w:val="0"/>
          <w:divBdr>
            <w:top w:val="none" w:sz="0" w:space="0" w:color="auto"/>
            <w:left w:val="none" w:sz="0" w:space="0" w:color="auto"/>
            <w:bottom w:val="none" w:sz="0" w:space="0" w:color="auto"/>
            <w:right w:val="none" w:sz="0" w:space="0" w:color="auto"/>
          </w:divBdr>
          <w:divsChild>
            <w:div w:id="960040998">
              <w:marLeft w:val="0"/>
              <w:marRight w:val="0"/>
              <w:marTop w:val="0"/>
              <w:marBottom w:val="0"/>
              <w:divBdr>
                <w:top w:val="none" w:sz="0" w:space="0" w:color="auto"/>
                <w:left w:val="none" w:sz="0" w:space="0" w:color="auto"/>
                <w:bottom w:val="none" w:sz="0" w:space="0" w:color="auto"/>
                <w:right w:val="none" w:sz="0" w:space="0" w:color="auto"/>
              </w:divBdr>
              <w:divsChild>
                <w:div w:id="59579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6353791">
      <w:bodyDiv w:val="1"/>
      <w:marLeft w:val="0"/>
      <w:marRight w:val="0"/>
      <w:marTop w:val="0"/>
      <w:marBottom w:val="0"/>
      <w:divBdr>
        <w:top w:val="none" w:sz="0" w:space="0" w:color="auto"/>
        <w:left w:val="none" w:sz="0" w:space="0" w:color="auto"/>
        <w:bottom w:val="none" w:sz="0" w:space="0" w:color="auto"/>
        <w:right w:val="none" w:sz="0" w:space="0" w:color="auto"/>
      </w:divBdr>
      <w:divsChild>
        <w:div w:id="468010913">
          <w:marLeft w:val="0"/>
          <w:marRight w:val="0"/>
          <w:marTop w:val="0"/>
          <w:marBottom w:val="0"/>
          <w:divBdr>
            <w:top w:val="none" w:sz="0" w:space="0" w:color="auto"/>
            <w:left w:val="none" w:sz="0" w:space="0" w:color="auto"/>
            <w:bottom w:val="none" w:sz="0" w:space="0" w:color="auto"/>
            <w:right w:val="none" w:sz="0" w:space="0" w:color="auto"/>
          </w:divBdr>
          <w:divsChild>
            <w:div w:id="257952489">
              <w:marLeft w:val="0"/>
              <w:marRight w:val="0"/>
              <w:marTop w:val="0"/>
              <w:marBottom w:val="0"/>
              <w:divBdr>
                <w:top w:val="none" w:sz="0" w:space="0" w:color="auto"/>
                <w:left w:val="none" w:sz="0" w:space="0" w:color="auto"/>
                <w:bottom w:val="none" w:sz="0" w:space="0" w:color="auto"/>
                <w:right w:val="none" w:sz="0" w:space="0" w:color="auto"/>
              </w:divBdr>
              <w:divsChild>
                <w:div w:id="969287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796361">
          <w:marLeft w:val="0"/>
          <w:marRight w:val="0"/>
          <w:marTop w:val="0"/>
          <w:marBottom w:val="0"/>
          <w:divBdr>
            <w:top w:val="none" w:sz="0" w:space="0" w:color="auto"/>
            <w:left w:val="none" w:sz="0" w:space="0" w:color="auto"/>
            <w:bottom w:val="none" w:sz="0" w:space="0" w:color="auto"/>
            <w:right w:val="none" w:sz="0" w:space="0" w:color="auto"/>
          </w:divBdr>
          <w:divsChild>
            <w:div w:id="1020397180">
              <w:marLeft w:val="0"/>
              <w:marRight w:val="0"/>
              <w:marTop w:val="0"/>
              <w:marBottom w:val="0"/>
              <w:divBdr>
                <w:top w:val="none" w:sz="0" w:space="0" w:color="auto"/>
                <w:left w:val="none" w:sz="0" w:space="0" w:color="auto"/>
                <w:bottom w:val="none" w:sz="0" w:space="0" w:color="auto"/>
                <w:right w:val="none" w:sz="0" w:space="0" w:color="auto"/>
              </w:divBdr>
              <w:divsChild>
                <w:div w:id="375087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192474">
      <w:bodyDiv w:val="1"/>
      <w:marLeft w:val="0"/>
      <w:marRight w:val="0"/>
      <w:marTop w:val="0"/>
      <w:marBottom w:val="0"/>
      <w:divBdr>
        <w:top w:val="none" w:sz="0" w:space="0" w:color="auto"/>
        <w:left w:val="none" w:sz="0" w:space="0" w:color="auto"/>
        <w:bottom w:val="none" w:sz="0" w:space="0" w:color="auto"/>
        <w:right w:val="none" w:sz="0" w:space="0" w:color="auto"/>
      </w:divBdr>
      <w:divsChild>
        <w:div w:id="1483699701">
          <w:marLeft w:val="0"/>
          <w:marRight w:val="0"/>
          <w:marTop w:val="0"/>
          <w:marBottom w:val="0"/>
          <w:divBdr>
            <w:top w:val="none" w:sz="0" w:space="0" w:color="auto"/>
            <w:left w:val="none" w:sz="0" w:space="0" w:color="auto"/>
            <w:bottom w:val="none" w:sz="0" w:space="0" w:color="auto"/>
            <w:right w:val="none" w:sz="0" w:space="0" w:color="auto"/>
          </w:divBdr>
          <w:divsChild>
            <w:div w:id="1732921800">
              <w:marLeft w:val="0"/>
              <w:marRight w:val="0"/>
              <w:marTop w:val="0"/>
              <w:marBottom w:val="0"/>
              <w:divBdr>
                <w:top w:val="none" w:sz="0" w:space="0" w:color="auto"/>
                <w:left w:val="none" w:sz="0" w:space="0" w:color="auto"/>
                <w:bottom w:val="none" w:sz="0" w:space="0" w:color="auto"/>
                <w:right w:val="none" w:sz="0" w:space="0" w:color="auto"/>
              </w:divBdr>
              <w:divsChild>
                <w:div w:id="321592158">
                  <w:marLeft w:val="0"/>
                  <w:marRight w:val="0"/>
                  <w:marTop w:val="0"/>
                  <w:marBottom w:val="0"/>
                  <w:divBdr>
                    <w:top w:val="none" w:sz="0" w:space="0" w:color="auto"/>
                    <w:left w:val="none" w:sz="0" w:space="0" w:color="auto"/>
                    <w:bottom w:val="none" w:sz="0" w:space="0" w:color="auto"/>
                    <w:right w:val="none" w:sz="0" w:space="0" w:color="auto"/>
                  </w:divBdr>
                  <w:divsChild>
                    <w:div w:id="1663578786">
                      <w:marLeft w:val="0"/>
                      <w:marRight w:val="0"/>
                      <w:marTop w:val="0"/>
                      <w:marBottom w:val="0"/>
                      <w:divBdr>
                        <w:top w:val="none" w:sz="0" w:space="0" w:color="auto"/>
                        <w:left w:val="none" w:sz="0" w:space="0" w:color="auto"/>
                        <w:bottom w:val="none" w:sz="0" w:space="0" w:color="auto"/>
                        <w:right w:val="none" w:sz="0" w:space="0" w:color="auto"/>
                      </w:divBdr>
                      <w:divsChild>
                        <w:div w:id="1304656053">
                          <w:marLeft w:val="0"/>
                          <w:marRight w:val="0"/>
                          <w:marTop w:val="0"/>
                          <w:marBottom w:val="0"/>
                          <w:divBdr>
                            <w:top w:val="none" w:sz="0" w:space="0" w:color="auto"/>
                            <w:left w:val="none" w:sz="0" w:space="0" w:color="auto"/>
                            <w:bottom w:val="none" w:sz="0" w:space="0" w:color="auto"/>
                            <w:right w:val="none" w:sz="0" w:space="0" w:color="auto"/>
                          </w:divBdr>
                          <w:divsChild>
                            <w:div w:id="1532761328">
                              <w:marLeft w:val="0"/>
                              <w:marRight w:val="0"/>
                              <w:marTop w:val="0"/>
                              <w:marBottom w:val="0"/>
                              <w:divBdr>
                                <w:top w:val="none" w:sz="0" w:space="0" w:color="auto"/>
                                <w:left w:val="none" w:sz="0" w:space="0" w:color="auto"/>
                                <w:bottom w:val="none" w:sz="0" w:space="0" w:color="auto"/>
                                <w:right w:val="none" w:sz="0" w:space="0" w:color="auto"/>
                              </w:divBdr>
                              <w:divsChild>
                                <w:div w:id="225073718">
                                  <w:marLeft w:val="0"/>
                                  <w:marRight w:val="0"/>
                                  <w:marTop w:val="0"/>
                                  <w:marBottom w:val="0"/>
                                  <w:divBdr>
                                    <w:top w:val="none" w:sz="0" w:space="0" w:color="auto"/>
                                    <w:left w:val="none" w:sz="0" w:space="0" w:color="auto"/>
                                    <w:bottom w:val="none" w:sz="0" w:space="0" w:color="auto"/>
                                    <w:right w:val="none" w:sz="0" w:space="0" w:color="auto"/>
                                  </w:divBdr>
                                  <w:divsChild>
                                    <w:div w:id="1580822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7574923">
              <w:marLeft w:val="0"/>
              <w:marRight w:val="0"/>
              <w:marTop w:val="0"/>
              <w:marBottom w:val="0"/>
              <w:divBdr>
                <w:top w:val="none" w:sz="0" w:space="0" w:color="auto"/>
                <w:left w:val="none" w:sz="0" w:space="0" w:color="auto"/>
                <w:bottom w:val="none" w:sz="0" w:space="0" w:color="auto"/>
                <w:right w:val="none" w:sz="0" w:space="0" w:color="auto"/>
              </w:divBdr>
              <w:divsChild>
                <w:div w:id="1756515590">
                  <w:marLeft w:val="0"/>
                  <w:marRight w:val="0"/>
                  <w:marTop w:val="0"/>
                  <w:marBottom w:val="0"/>
                  <w:divBdr>
                    <w:top w:val="none" w:sz="0" w:space="0" w:color="auto"/>
                    <w:left w:val="none" w:sz="0" w:space="0" w:color="auto"/>
                    <w:bottom w:val="none" w:sz="0" w:space="0" w:color="auto"/>
                    <w:right w:val="none" w:sz="0" w:space="0" w:color="auto"/>
                  </w:divBdr>
                  <w:divsChild>
                    <w:div w:id="1045956775">
                      <w:marLeft w:val="0"/>
                      <w:marRight w:val="0"/>
                      <w:marTop w:val="0"/>
                      <w:marBottom w:val="0"/>
                      <w:divBdr>
                        <w:top w:val="none" w:sz="0" w:space="0" w:color="auto"/>
                        <w:left w:val="none" w:sz="0" w:space="0" w:color="auto"/>
                        <w:bottom w:val="none" w:sz="0" w:space="0" w:color="auto"/>
                        <w:right w:val="none" w:sz="0" w:space="0" w:color="auto"/>
                      </w:divBdr>
                      <w:divsChild>
                        <w:div w:id="54746934">
                          <w:marLeft w:val="0"/>
                          <w:marRight w:val="0"/>
                          <w:marTop w:val="0"/>
                          <w:marBottom w:val="0"/>
                          <w:divBdr>
                            <w:top w:val="none" w:sz="0" w:space="0" w:color="auto"/>
                            <w:left w:val="none" w:sz="0" w:space="0" w:color="auto"/>
                            <w:bottom w:val="none" w:sz="0" w:space="0" w:color="auto"/>
                            <w:right w:val="none" w:sz="0" w:space="0" w:color="auto"/>
                          </w:divBdr>
                          <w:divsChild>
                            <w:div w:id="489249024">
                              <w:marLeft w:val="0"/>
                              <w:marRight w:val="0"/>
                              <w:marTop w:val="0"/>
                              <w:marBottom w:val="0"/>
                              <w:divBdr>
                                <w:top w:val="none" w:sz="0" w:space="0" w:color="auto"/>
                                <w:left w:val="none" w:sz="0" w:space="0" w:color="auto"/>
                                <w:bottom w:val="none" w:sz="0" w:space="0" w:color="auto"/>
                                <w:right w:val="none" w:sz="0" w:space="0" w:color="auto"/>
                              </w:divBdr>
                              <w:divsChild>
                                <w:div w:id="627509826">
                                  <w:marLeft w:val="0"/>
                                  <w:marRight w:val="0"/>
                                  <w:marTop w:val="0"/>
                                  <w:marBottom w:val="0"/>
                                  <w:divBdr>
                                    <w:top w:val="none" w:sz="0" w:space="0" w:color="auto"/>
                                    <w:left w:val="none" w:sz="0" w:space="0" w:color="auto"/>
                                    <w:bottom w:val="none" w:sz="0" w:space="0" w:color="auto"/>
                                    <w:right w:val="none" w:sz="0" w:space="0" w:color="auto"/>
                                  </w:divBdr>
                                  <w:divsChild>
                                    <w:div w:id="34520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5983002">
              <w:marLeft w:val="0"/>
              <w:marRight w:val="0"/>
              <w:marTop w:val="0"/>
              <w:marBottom w:val="0"/>
              <w:divBdr>
                <w:top w:val="none" w:sz="0" w:space="0" w:color="auto"/>
                <w:left w:val="none" w:sz="0" w:space="0" w:color="auto"/>
                <w:bottom w:val="none" w:sz="0" w:space="0" w:color="auto"/>
                <w:right w:val="none" w:sz="0" w:space="0" w:color="auto"/>
              </w:divBdr>
              <w:divsChild>
                <w:div w:id="249583870">
                  <w:marLeft w:val="0"/>
                  <w:marRight w:val="0"/>
                  <w:marTop w:val="0"/>
                  <w:marBottom w:val="0"/>
                  <w:divBdr>
                    <w:top w:val="none" w:sz="0" w:space="0" w:color="auto"/>
                    <w:left w:val="none" w:sz="0" w:space="0" w:color="auto"/>
                    <w:bottom w:val="none" w:sz="0" w:space="0" w:color="auto"/>
                    <w:right w:val="none" w:sz="0" w:space="0" w:color="auto"/>
                  </w:divBdr>
                  <w:divsChild>
                    <w:div w:id="182017938">
                      <w:marLeft w:val="0"/>
                      <w:marRight w:val="0"/>
                      <w:marTop w:val="0"/>
                      <w:marBottom w:val="0"/>
                      <w:divBdr>
                        <w:top w:val="none" w:sz="0" w:space="0" w:color="auto"/>
                        <w:left w:val="none" w:sz="0" w:space="0" w:color="auto"/>
                        <w:bottom w:val="none" w:sz="0" w:space="0" w:color="auto"/>
                        <w:right w:val="none" w:sz="0" w:space="0" w:color="auto"/>
                      </w:divBdr>
                      <w:divsChild>
                        <w:div w:id="712508683">
                          <w:marLeft w:val="0"/>
                          <w:marRight w:val="0"/>
                          <w:marTop w:val="0"/>
                          <w:marBottom w:val="0"/>
                          <w:divBdr>
                            <w:top w:val="none" w:sz="0" w:space="0" w:color="auto"/>
                            <w:left w:val="none" w:sz="0" w:space="0" w:color="auto"/>
                            <w:bottom w:val="none" w:sz="0" w:space="0" w:color="auto"/>
                            <w:right w:val="none" w:sz="0" w:space="0" w:color="auto"/>
                          </w:divBdr>
                          <w:divsChild>
                            <w:div w:id="268009265">
                              <w:marLeft w:val="0"/>
                              <w:marRight w:val="0"/>
                              <w:marTop w:val="0"/>
                              <w:marBottom w:val="0"/>
                              <w:divBdr>
                                <w:top w:val="none" w:sz="0" w:space="0" w:color="auto"/>
                                <w:left w:val="none" w:sz="0" w:space="0" w:color="auto"/>
                                <w:bottom w:val="none" w:sz="0" w:space="0" w:color="auto"/>
                                <w:right w:val="none" w:sz="0" w:space="0" w:color="auto"/>
                              </w:divBdr>
                              <w:divsChild>
                                <w:div w:id="1066609884">
                                  <w:marLeft w:val="0"/>
                                  <w:marRight w:val="0"/>
                                  <w:marTop w:val="0"/>
                                  <w:marBottom w:val="0"/>
                                  <w:divBdr>
                                    <w:top w:val="none" w:sz="0" w:space="0" w:color="auto"/>
                                    <w:left w:val="none" w:sz="0" w:space="0" w:color="auto"/>
                                    <w:bottom w:val="none" w:sz="0" w:space="0" w:color="auto"/>
                                    <w:right w:val="none" w:sz="0" w:space="0" w:color="auto"/>
                                  </w:divBdr>
                                  <w:divsChild>
                                    <w:div w:id="1516387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784507">
              <w:marLeft w:val="0"/>
              <w:marRight w:val="0"/>
              <w:marTop w:val="0"/>
              <w:marBottom w:val="0"/>
              <w:divBdr>
                <w:top w:val="none" w:sz="0" w:space="0" w:color="auto"/>
                <w:left w:val="none" w:sz="0" w:space="0" w:color="auto"/>
                <w:bottom w:val="none" w:sz="0" w:space="0" w:color="auto"/>
                <w:right w:val="none" w:sz="0" w:space="0" w:color="auto"/>
              </w:divBdr>
              <w:divsChild>
                <w:div w:id="1011487612">
                  <w:marLeft w:val="0"/>
                  <w:marRight w:val="0"/>
                  <w:marTop w:val="0"/>
                  <w:marBottom w:val="0"/>
                  <w:divBdr>
                    <w:top w:val="none" w:sz="0" w:space="0" w:color="auto"/>
                    <w:left w:val="none" w:sz="0" w:space="0" w:color="auto"/>
                    <w:bottom w:val="none" w:sz="0" w:space="0" w:color="auto"/>
                    <w:right w:val="none" w:sz="0" w:space="0" w:color="auto"/>
                  </w:divBdr>
                  <w:divsChild>
                    <w:div w:id="1911310906">
                      <w:marLeft w:val="0"/>
                      <w:marRight w:val="0"/>
                      <w:marTop w:val="0"/>
                      <w:marBottom w:val="0"/>
                      <w:divBdr>
                        <w:top w:val="none" w:sz="0" w:space="0" w:color="auto"/>
                        <w:left w:val="none" w:sz="0" w:space="0" w:color="auto"/>
                        <w:bottom w:val="none" w:sz="0" w:space="0" w:color="auto"/>
                        <w:right w:val="none" w:sz="0" w:space="0" w:color="auto"/>
                      </w:divBdr>
                      <w:divsChild>
                        <w:div w:id="576356217">
                          <w:marLeft w:val="0"/>
                          <w:marRight w:val="0"/>
                          <w:marTop w:val="0"/>
                          <w:marBottom w:val="0"/>
                          <w:divBdr>
                            <w:top w:val="none" w:sz="0" w:space="0" w:color="auto"/>
                            <w:left w:val="none" w:sz="0" w:space="0" w:color="auto"/>
                            <w:bottom w:val="none" w:sz="0" w:space="0" w:color="auto"/>
                            <w:right w:val="none" w:sz="0" w:space="0" w:color="auto"/>
                          </w:divBdr>
                          <w:divsChild>
                            <w:div w:id="73090551">
                              <w:marLeft w:val="0"/>
                              <w:marRight w:val="0"/>
                              <w:marTop w:val="0"/>
                              <w:marBottom w:val="0"/>
                              <w:divBdr>
                                <w:top w:val="none" w:sz="0" w:space="0" w:color="auto"/>
                                <w:left w:val="none" w:sz="0" w:space="0" w:color="auto"/>
                                <w:bottom w:val="none" w:sz="0" w:space="0" w:color="auto"/>
                                <w:right w:val="none" w:sz="0" w:space="0" w:color="auto"/>
                              </w:divBdr>
                              <w:divsChild>
                                <w:div w:id="1854760727">
                                  <w:marLeft w:val="0"/>
                                  <w:marRight w:val="0"/>
                                  <w:marTop w:val="0"/>
                                  <w:marBottom w:val="0"/>
                                  <w:divBdr>
                                    <w:top w:val="none" w:sz="0" w:space="0" w:color="auto"/>
                                    <w:left w:val="none" w:sz="0" w:space="0" w:color="auto"/>
                                    <w:bottom w:val="none" w:sz="0" w:space="0" w:color="auto"/>
                                    <w:right w:val="none" w:sz="0" w:space="0" w:color="auto"/>
                                  </w:divBdr>
                                  <w:divsChild>
                                    <w:div w:id="2109494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6571209">
              <w:marLeft w:val="0"/>
              <w:marRight w:val="0"/>
              <w:marTop w:val="0"/>
              <w:marBottom w:val="0"/>
              <w:divBdr>
                <w:top w:val="none" w:sz="0" w:space="0" w:color="auto"/>
                <w:left w:val="none" w:sz="0" w:space="0" w:color="auto"/>
                <w:bottom w:val="none" w:sz="0" w:space="0" w:color="auto"/>
                <w:right w:val="none" w:sz="0" w:space="0" w:color="auto"/>
              </w:divBdr>
              <w:divsChild>
                <w:div w:id="1906721530">
                  <w:marLeft w:val="0"/>
                  <w:marRight w:val="0"/>
                  <w:marTop w:val="0"/>
                  <w:marBottom w:val="0"/>
                  <w:divBdr>
                    <w:top w:val="none" w:sz="0" w:space="0" w:color="auto"/>
                    <w:left w:val="none" w:sz="0" w:space="0" w:color="auto"/>
                    <w:bottom w:val="none" w:sz="0" w:space="0" w:color="auto"/>
                    <w:right w:val="none" w:sz="0" w:space="0" w:color="auto"/>
                  </w:divBdr>
                  <w:divsChild>
                    <w:div w:id="346447915">
                      <w:marLeft w:val="0"/>
                      <w:marRight w:val="0"/>
                      <w:marTop w:val="0"/>
                      <w:marBottom w:val="0"/>
                      <w:divBdr>
                        <w:top w:val="none" w:sz="0" w:space="0" w:color="auto"/>
                        <w:left w:val="none" w:sz="0" w:space="0" w:color="auto"/>
                        <w:bottom w:val="none" w:sz="0" w:space="0" w:color="auto"/>
                        <w:right w:val="none" w:sz="0" w:space="0" w:color="auto"/>
                      </w:divBdr>
                      <w:divsChild>
                        <w:div w:id="549852162">
                          <w:marLeft w:val="0"/>
                          <w:marRight w:val="0"/>
                          <w:marTop w:val="0"/>
                          <w:marBottom w:val="0"/>
                          <w:divBdr>
                            <w:top w:val="none" w:sz="0" w:space="0" w:color="auto"/>
                            <w:left w:val="none" w:sz="0" w:space="0" w:color="auto"/>
                            <w:bottom w:val="none" w:sz="0" w:space="0" w:color="auto"/>
                            <w:right w:val="none" w:sz="0" w:space="0" w:color="auto"/>
                          </w:divBdr>
                          <w:divsChild>
                            <w:div w:id="2126608193">
                              <w:marLeft w:val="0"/>
                              <w:marRight w:val="0"/>
                              <w:marTop w:val="0"/>
                              <w:marBottom w:val="0"/>
                              <w:divBdr>
                                <w:top w:val="none" w:sz="0" w:space="0" w:color="auto"/>
                                <w:left w:val="none" w:sz="0" w:space="0" w:color="auto"/>
                                <w:bottom w:val="none" w:sz="0" w:space="0" w:color="auto"/>
                                <w:right w:val="none" w:sz="0" w:space="0" w:color="auto"/>
                              </w:divBdr>
                              <w:divsChild>
                                <w:div w:id="1359744768">
                                  <w:marLeft w:val="0"/>
                                  <w:marRight w:val="0"/>
                                  <w:marTop w:val="0"/>
                                  <w:marBottom w:val="0"/>
                                  <w:divBdr>
                                    <w:top w:val="none" w:sz="0" w:space="0" w:color="auto"/>
                                    <w:left w:val="none" w:sz="0" w:space="0" w:color="auto"/>
                                    <w:bottom w:val="none" w:sz="0" w:space="0" w:color="auto"/>
                                    <w:right w:val="none" w:sz="0" w:space="0" w:color="auto"/>
                                  </w:divBdr>
                                  <w:divsChild>
                                    <w:div w:id="448865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8455825">
          <w:marLeft w:val="0"/>
          <w:marRight w:val="0"/>
          <w:marTop w:val="0"/>
          <w:marBottom w:val="0"/>
          <w:divBdr>
            <w:top w:val="none" w:sz="0" w:space="0" w:color="auto"/>
            <w:left w:val="none" w:sz="0" w:space="0" w:color="auto"/>
            <w:bottom w:val="none" w:sz="0" w:space="0" w:color="auto"/>
            <w:right w:val="none" w:sz="0" w:space="0" w:color="auto"/>
          </w:divBdr>
          <w:divsChild>
            <w:div w:id="514001440">
              <w:marLeft w:val="0"/>
              <w:marRight w:val="0"/>
              <w:marTop w:val="0"/>
              <w:marBottom w:val="0"/>
              <w:divBdr>
                <w:top w:val="none" w:sz="0" w:space="0" w:color="auto"/>
                <w:left w:val="none" w:sz="0" w:space="0" w:color="auto"/>
                <w:bottom w:val="none" w:sz="0" w:space="0" w:color="auto"/>
                <w:right w:val="none" w:sz="0" w:space="0" w:color="auto"/>
              </w:divBdr>
              <w:divsChild>
                <w:div w:id="348990087">
                  <w:marLeft w:val="0"/>
                  <w:marRight w:val="0"/>
                  <w:marTop w:val="0"/>
                  <w:marBottom w:val="0"/>
                  <w:divBdr>
                    <w:top w:val="none" w:sz="0" w:space="0" w:color="auto"/>
                    <w:left w:val="none" w:sz="0" w:space="0" w:color="auto"/>
                    <w:bottom w:val="none" w:sz="0" w:space="0" w:color="auto"/>
                    <w:right w:val="none" w:sz="0" w:space="0" w:color="auto"/>
                  </w:divBdr>
                  <w:divsChild>
                    <w:div w:id="1910769668">
                      <w:marLeft w:val="0"/>
                      <w:marRight w:val="0"/>
                      <w:marTop w:val="0"/>
                      <w:marBottom w:val="0"/>
                      <w:divBdr>
                        <w:top w:val="none" w:sz="0" w:space="0" w:color="auto"/>
                        <w:left w:val="none" w:sz="0" w:space="0" w:color="auto"/>
                        <w:bottom w:val="none" w:sz="0" w:space="0" w:color="auto"/>
                        <w:right w:val="none" w:sz="0" w:space="0" w:color="auto"/>
                      </w:divBdr>
                      <w:divsChild>
                        <w:div w:id="1555845449">
                          <w:marLeft w:val="0"/>
                          <w:marRight w:val="0"/>
                          <w:marTop w:val="0"/>
                          <w:marBottom w:val="0"/>
                          <w:divBdr>
                            <w:top w:val="none" w:sz="0" w:space="0" w:color="auto"/>
                            <w:left w:val="none" w:sz="0" w:space="0" w:color="auto"/>
                            <w:bottom w:val="none" w:sz="0" w:space="0" w:color="auto"/>
                            <w:right w:val="none" w:sz="0" w:space="0" w:color="auto"/>
                          </w:divBdr>
                          <w:divsChild>
                            <w:div w:id="1370571926">
                              <w:marLeft w:val="0"/>
                              <w:marRight w:val="0"/>
                              <w:marTop w:val="0"/>
                              <w:marBottom w:val="0"/>
                              <w:divBdr>
                                <w:top w:val="none" w:sz="0" w:space="0" w:color="auto"/>
                                <w:left w:val="none" w:sz="0" w:space="0" w:color="auto"/>
                                <w:bottom w:val="none" w:sz="0" w:space="0" w:color="auto"/>
                                <w:right w:val="none" w:sz="0" w:space="0" w:color="auto"/>
                              </w:divBdr>
                              <w:divsChild>
                                <w:div w:id="472530894">
                                  <w:marLeft w:val="0"/>
                                  <w:marRight w:val="0"/>
                                  <w:marTop w:val="0"/>
                                  <w:marBottom w:val="0"/>
                                  <w:divBdr>
                                    <w:top w:val="none" w:sz="0" w:space="0" w:color="auto"/>
                                    <w:left w:val="none" w:sz="0" w:space="0" w:color="auto"/>
                                    <w:bottom w:val="none" w:sz="0" w:space="0" w:color="auto"/>
                                    <w:right w:val="none" w:sz="0" w:space="0" w:color="auto"/>
                                  </w:divBdr>
                                  <w:divsChild>
                                    <w:div w:id="180119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1729028">
              <w:marLeft w:val="0"/>
              <w:marRight w:val="0"/>
              <w:marTop w:val="0"/>
              <w:marBottom w:val="0"/>
              <w:divBdr>
                <w:top w:val="none" w:sz="0" w:space="0" w:color="auto"/>
                <w:left w:val="none" w:sz="0" w:space="0" w:color="auto"/>
                <w:bottom w:val="none" w:sz="0" w:space="0" w:color="auto"/>
                <w:right w:val="none" w:sz="0" w:space="0" w:color="auto"/>
              </w:divBdr>
              <w:divsChild>
                <w:div w:id="1944342288">
                  <w:marLeft w:val="0"/>
                  <w:marRight w:val="0"/>
                  <w:marTop w:val="0"/>
                  <w:marBottom w:val="0"/>
                  <w:divBdr>
                    <w:top w:val="none" w:sz="0" w:space="0" w:color="auto"/>
                    <w:left w:val="none" w:sz="0" w:space="0" w:color="auto"/>
                    <w:bottom w:val="none" w:sz="0" w:space="0" w:color="auto"/>
                    <w:right w:val="none" w:sz="0" w:space="0" w:color="auto"/>
                  </w:divBdr>
                  <w:divsChild>
                    <w:div w:id="369690027">
                      <w:marLeft w:val="0"/>
                      <w:marRight w:val="0"/>
                      <w:marTop w:val="0"/>
                      <w:marBottom w:val="0"/>
                      <w:divBdr>
                        <w:top w:val="none" w:sz="0" w:space="0" w:color="auto"/>
                        <w:left w:val="none" w:sz="0" w:space="0" w:color="auto"/>
                        <w:bottom w:val="none" w:sz="0" w:space="0" w:color="auto"/>
                        <w:right w:val="none" w:sz="0" w:space="0" w:color="auto"/>
                      </w:divBdr>
                      <w:divsChild>
                        <w:div w:id="657415882">
                          <w:marLeft w:val="0"/>
                          <w:marRight w:val="0"/>
                          <w:marTop w:val="0"/>
                          <w:marBottom w:val="0"/>
                          <w:divBdr>
                            <w:top w:val="none" w:sz="0" w:space="0" w:color="auto"/>
                            <w:left w:val="none" w:sz="0" w:space="0" w:color="auto"/>
                            <w:bottom w:val="none" w:sz="0" w:space="0" w:color="auto"/>
                            <w:right w:val="none" w:sz="0" w:space="0" w:color="auto"/>
                          </w:divBdr>
                          <w:divsChild>
                            <w:div w:id="1801724157">
                              <w:marLeft w:val="0"/>
                              <w:marRight w:val="0"/>
                              <w:marTop w:val="0"/>
                              <w:marBottom w:val="0"/>
                              <w:divBdr>
                                <w:top w:val="none" w:sz="0" w:space="0" w:color="auto"/>
                                <w:left w:val="none" w:sz="0" w:space="0" w:color="auto"/>
                                <w:bottom w:val="none" w:sz="0" w:space="0" w:color="auto"/>
                                <w:right w:val="none" w:sz="0" w:space="0" w:color="auto"/>
                              </w:divBdr>
                              <w:divsChild>
                                <w:div w:id="164980716">
                                  <w:marLeft w:val="0"/>
                                  <w:marRight w:val="0"/>
                                  <w:marTop w:val="0"/>
                                  <w:marBottom w:val="0"/>
                                  <w:divBdr>
                                    <w:top w:val="none" w:sz="0" w:space="0" w:color="auto"/>
                                    <w:left w:val="none" w:sz="0" w:space="0" w:color="auto"/>
                                    <w:bottom w:val="none" w:sz="0" w:space="0" w:color="auto"/>
                                    <w:right w:val="none" w:sz="0" w:space="0" w:color="auto"/>
                                  </w:divBdr>
                                  <w:divsChild>
                                    <w:div w:id="2799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5649140">
              <w:marLeft w:val="0"/>
              <w:marRight w:val="0"/>
              <w:marTop w:val="0"/>
              <w:marBottom w:val="0"/>
              <w:divBdr>
                <w:top w:val="none" w:sz="0" w:space="0" w:color="auto"/>
                <w:left w:val="none" w:sz="0" w:space="0" w:color="auto"/>
                <w:bottom w:val="none" w:sz="0" w:space="0" w:color="auto"/>
                <w:right w:val="none" w:sz="0" w:space="0" w:color="auto"/>
              </w:divBdr>
              <w:divsChild>
                <w:div w:id="394816676">
                  <w:marLeft w:val="0"/>
                  <w:marRight w:val="0"/>
                  <w:marTop w:val="0"/>
                  <w:marBottom w:val="0"/>
                  <w:divBdr>
                    <w:top w:val="none" w:sz="0" w:space="0" w:color="auto"/>
                    <w:left w:val="none" w:sz="0" w:space="0" w:color="auto"/>
                    <w:bottom w:val="none" w:sz="0" w:space="0" w:color="auto"/>
                    <w:right w:val="none" w:sz="0" w:space="0" w:color="auto"/>
                  </w:divBdr>
                  <w:divsChild>
                    <w:div w:id="1494758020">
                      <w:marLeft w:val="0"/>
                      <w:marRight w:val="0"/>
                      <w:marTop w:val="0"/>
                      <w:marBottom w:val="0"/>
                      <w:divBdr>
                        <w:top w:val="none" w:sz="0" w:space="0" w:color="auto"/>
                        <w:left w:val="none" w:sz="0" w:space="0" w:color="auto"/>
                        <w:bottom w:val="none" w:sz="0" w:space="0" w:color="auto"/>
                        <w:right w:val="none" w:sz="0" w:space="0" w:color="auto"/>
                      </w:divBdr>
                      <w:divsChild>
                        <w:div w:id="511647361">
                          <w:marLeft w:val="0"/>
                          <w:marRight w:val="0"/>
                          <w:marTop w:val="0"/>
                          <w:marBottom w:val="0"/>
                          <w:divBdr>
                            <w:top w:val="none" w:sz="0" w:space="0" w:color="auto"/>
                            <w:left w:val="none" w:sz="0" w:space="0" w:color="auto"/>
                            <w:bottom w:val="none" w:sz="0" w:space="0" w:color="auto"/>
                            <w:right w:val="none" w:sz="0" w:space="0" w:color="auto"/>
                          </w:divBdr>
                          <w:divsChild>
                            <w:div w:id="127818913">
                              <w:marLeft w:val="0"/>
                              <w:marRight w:val="0"/>
                              <w:marTop w:val="0"/>
                              <w:marBottom w:val="0"/>
                              <w:divBdr>
                                <w:top w:val="none" w:sz="0" w:space="0" w:color="auto"/>
                                <w:left w:val="none" w:sz="0" w:space="0" w:color="auto"/>
                                <w:bottom w:val="none" w:sz="0" w:space="0" w:color="auto"/>
                                <w:right w:val="none" w:sz="0" w:space="0" w:color="auto"/>
                              </w:divBdr>
                              <w:divsChild>
                                <w:div w:id="616958216">
                                  <w:marLeft w:val="0"/>
                                  <w:marRight w:val="0"/>
                                  <w:marTop w:val="0"/>
                                  <w:marBottom w:val="0"/>
                                  <w:divBdr>
                                    <w:top w:val="none" w:sz="0" w:space="0" w:color="auto"/>
                                    <w:left w:val="none" w:sz="0" w:space="0" w:color="auto"/>
                                    <w:bottom w:val="none" w:sz="0" w:space="0" w:color="auto"/>
                                    <w:right w:val="none" w:sz="0" w:space="0" w:color="auto"/>
                                  </w:divBdr>
                                  <w:divsChild>
                                    <w:div w:id="633220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41952">
              <w:marLeft w:val="0"/>
              <w:marRight w:val="0"/>
              <w:marTop w:val="0"/>
              <w:marBottom w:val="0"/>
              <w:divBdr>
                <w:top w:val="none" w:sz="0" w:space="0" w:color="auto"/>
                <w:left w:val="none" w:sz="0" w:space="0" w:color="auto"/>
                <w:bottom w:val="none" w:sz="0" w:space="0" w:color="auto"/>
                <w:right w:val="none" w:sz="0" w:space="0" w:color="auto"/>
              </w:divBdr>
              <w:divsChild>
                <w:div w:id="482426851">
                  <w:marLeft w:val="0"/>
                  <w:marRight w:val="0"/>
                  <w:marTop w:val="0"/>
                  <w:marBottom w:val="0"/>
                  <w:divBdr>
                    <w:top w:val="none" w:sz="0" w:space="0" w:color="auto"/>
                    <w:left w:val="none" w:sz="0" w:space="0" w:color="auto"/>
                    <w:bottom w:val="none" w:sz="0" w:space="0" w:color="auto"/>
                    <w:right w:val="none" w:sz="0" w:space="0" w:color="auto"/>
                  </w:divBdr>
                  <w:divsChild>
                    <w:div w:id="29382503">
                      <w:marLeft w:val="0"/>
                      <w:marRight w:val="0"/>
                      <w:marTop w:val="0"/>
                      <w:marBottom w:val="0"/>
                      <w:divBdr>
                        <w:top w:val="none" w:sz="0" w:space="0" w:color="auto"/>
                        <w:left w:val="none" w:sz="0" w:space="0" w:color="auto"/>
                        <w:bottom w:val="none" w:sz="0" w:space="0" w:color="auto"/>
                        <w:right w:val="none" w:sz="0" w:space="0" w:color="auto"/>
                      </w:divBdr>
                      <w:divsChild>
                        <w:div w:id="1434016914">
                          <w:marLeft w:val="0"/>
                          <w:marRight w:val="0"/>
                          <w:marTop w:val="0"/>
                          <w:marBottom w:val="0"/>
                          <w:divBdr>
                            <w:top w:val="none" w:sz="0" w:space="0" w:color="auto"/>
                            <w:left w:val="none" w:sz="0" w:space="0" w:color="auto"/>
                            <w:bottom w:val="none" w:sz="0" w:space="0" w:color="auto"/>
                            <w:right w:val="none" w:sz="0" w:space="0" w:color="auto"/>
                          </w:divBdr>
                          <w:divsChild>
                            <w:div w:id="1640919223">
                              <w:marLeft w:val="0"/>
                              <w:marRight w:val="0"/>
                              <w:marTop w:val="0"/>
                              <w:marBottom w:val="0"/>
                              <w:divBdr>
                                <w:top w:val="none" w:sz="0" w:space="0" w:color="auto"/>
                                <w:left w:val="none" w:sz="0" w:space="0" w:color="auto"/>
                                <w:bottom w:val="none" w:sz="0" w:space="0" w:color="auto"/>
                                <w:right w:val="none" w:sz="0" w:space="0" w:color="auto"/>
                              </w:divBdr>
                              <w:divsChild>
                                <w:div w:id="1483307719">
                                  <w:marLeft w:val="0"/>
                                  <w:marRight w:val="0"/>
                                  <w:marTop w:val="0"/>
                                  <w:marBottom w:val="0"/>
                                  <w:divBdr>
                                    <w:top w:val="none" w:sz="0" w:space="0" w:color="auto"/>
                                    <w:left w:val="none" w:sz="0" w:space="0" w:color="auto"/>
                                    <w:bottom w:val="none" w:sz="0" w:space="0" w:color="auto"/>
                                    <w:right w:val="none" w:sz="0" w:space="0" w:color="auto"/>
                                  </w:divBdr>
                                  <w:divsChild>
                                    <w:div w:id="135542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1550283">
              <w:marLeft w:val="0"/>
              <w:marRight w:val="0"/>
              <w:marTop w:val="0"/>
              <w:marBottom w:val="0"/>
              <w:divBdr>
                <w:top w:val="none" w:sz="0" w:space="0" w:color="auto"/>
                <w:left w:val="none" w:sz="0" w:space="0" w:color="auto"/>
                <w:bottom w:val="none" w:sz="0" w:space="0" w:color="auto"/>
                <w:right w:val="none" w:sz="0" w:space="0" w:color="auto"/>
              </w:divBdr>
              <w:divsChild>
                <w:div w:id="944340282">
                  <w:marLeft w:val="0"/>
                  <w:marRight w:val="0"/>
                  <w:marTop w:val="0"/>
                  <w:marBottom w:val="0"/>
                  <w:divBdr>
                    <w:top w:val="none" w:sz="0" w:space="0" w:color="auto"/>
                    <w:left w:val="none" w:sz="0" w:space="0" w:color="auto"/>
                    <w:bottom w:val="none" w:sz="0" w:space="0" w:color="auto"/>
                    <w:right w:val="none" w:sz="0" w:space="0" w:color="auto"/>
                  </w:divBdr>
                  <w:divsChild>
                    <w:div w:id="1490975647">
                      <w:marLeft w:val="0"/>
                      <w:marRight w:val="0"/>
                      <w:marTop w:val="0"/>
                      <w:marBottom w:val="0"/>
                      <w:divBdr>
                        <w:top w:val="none" w:sz="0" w:space="0" w:color="auto"/>
                        <w:left w:val="none" w:sz="0" w:space="0" w:color="auto"/>
                        <w:bottom w:val="none" w:sz="0" w:space="0" w:color="auto"/>
                        <w:right w:val="none" w:sz="0" w:space="0" w:color="auto"/>
                      </w:divBdr>
                      <w:divsChild>
                        <w:div w:id="856964873">
                          <w:marLeft w:val="0"/>
                          <w:marRight w:val="0"/>
                          <w:marTop w:val="0"/>
                          <w:marBottom w:val="0"/>
                          <w:divBdr>
                            <w:top w:val="none" w:sz="0" w:space="0" w:color="auto"/>
                            <w:left w:val="none" w:sz="0" w:space="0" w:color="auto"/>
                            <w:bottom w:val="none" w:sz="0" w:space="0" w:color="auto"/>
                            <w:right w:val="none" w:sz="0" w:space="0" w:color="auto"/>
                          </w:divBdr>
                          <w:divsChild>
                            <w:div w:id="51317378">
                              <w:marLeft w:val="0"/>
                              <w:marRight w:val="0"/>
                              <w:marTop w:val="0"/>
                              <w:marBottom w:val="0"/>
                              <w:divBdr>
                                <w:top w:val="none" w:sz="0" w:space="0" w:color="auto"/>
                                <w:left w:val="none" w:sz="0" w:space="0" w:color="auto"/>
                                <w:bottom w:val="none" w:sz="0" w:space="0" w:color="auto"/>
                                <w:right w:val="none" w:sz="0" w:space="0" w:color="auto"/>
                              </w:divBdr>
                              <w:divsChild>
                                <w:div w:id="815612779">
                                  <w:marLeft w:val="0"/>
                                  <w:marRight w:val="0"/>
                                  <w:marTop w:val="0"/>
                                  <w:marBottom w:val="0"/>
                                  <w:divBdr>
                                    <w:top w:val="none" w:sz="0" w:space="0" w:color="auto"/>
                                    <w:left w:val="none" w:sz="0" w:space="0" w:color="auto"/>
                                    <w:bottom w:val="none" w:sz="0" w:space="0" w:color="auto"/>
                                    <w:right w:val="none" w:sz="0" w:space="0" w:color="auto"/>
                                  </w:divBdr>
                                  <w:divsChild>
                                    <w:div w:id="35404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3228162">
              <w:marLeft w:val="0"/>
              <w:marRight w:val="0"/>
              <w:marTop w:val="0"/>
              <w:marBottom w:val="0"/>
              <w:divBdr>
                <w:top w:val="none" w:sz="0" w:space="0" w:color="auto"/>
                <w:left w:val="none" w:sz="0" w:space="0" w:color="auto"/>
                <w:bottom w:val="none" w:sz="0" w:space="0" w:color="auto"/>
                <w:right w:val="none" w:sz="0" w:space="0" w:color="auto"/>
              </w:divBdr>
              <w:divsChild>
                <w:div w:id="1524972416">
                  <w:marLeft w:val="0"/>
                  <w:marRight w:val="0"/>
                  <w:marTop w:val="0"/>
                  <w:marBottom w:val="0"/>
                  <w:divBdr>
                    <w:top w:val="none" w:sz="0" w:space="0" w:color="auto"/>
                    <w:left w:val="none" w:sz="0" w:space="0" w:color="auto"/>
                    <w:bottom w:val="none" w:sz="0" w:space="0" w:color="auto"/>
                    <w:right w:val="none" w:sz="0" w:space="0" w:color="auto"/>
                  </w:divBdr>
                  <w:divsChild>
                    <w:div w:id="1227570086">
                      <w:marLeft w:val="0"/>
                      <w:marRight w:val="0"/>
                      <w:marTop w:val="0"/>
                      <w:marBottom w:val="0"/>
                      <w:divBdr>
                        <w:top w:val="none" w:sz="0" w:space="0" w:color="auto"/>
                        <w:left w:val="none" w:sz="0" w:space="0" w:color="auto"/>
                        <w:bottom w:val="none" w:sz="0" w:space="0" w:color="auto"/>
                        <w:right w:val="none" w:sz="0" w:space="0" w:color="auto"/>
                      </w:divBdr>
                      <w:divsChild>
                        <w:div w:id="1287155104">
                          <w:marLeft w:val="0"/>
                          <w:marRight w:val="0"/>
                          <w:marTop w:val="0"/>
                          <w:marBottom w:val="0"/>
                          <w:divBdr>
                            <w:top w:val="none" w:sz="0" w:space="0" w:color="auto"/>
                            <w:left w:val="none" w:sz="0" w:space="0" w:color="auto"/>
                            <w:bottom w:val="none" w:sz="0" w:space="0" w:color="auto"/>
                            <w:right w:val="none" w:sz="0" w:space="0" w:color="auto"/>
                          </w:divBdr>
                          <w:divsChild>
                            <w:div w:id="947589397">
                              <w:marLeft w:val="0"/>
                              <w:marRight w:val="0"/>
                              <w:marTop w:val="0"/>
                              <w:marBottom w:val="0"/>
                              <w:divBdr>
                                <w:top w:val="none" w:sz="0" w:space="0" w:color="auto"/>
                                <w:left w:val="none" w:sz="0" w:space="0" w:color="auto"/>
                                <w:bottom w:val="none" w:sz="0" w:space="0" w:color="auto"/>
                                <w:right w:val="none" w:sz="0" w:space="0" w:color="auto"/>
                              </w:divBdr>
                              <w:divsChild>
                                <w:div w:id="696083201">
                                  <w:marLeft w:val="0"/>
                                  <w:marRight w:val="0"/>
                                  <w:marTop w:val="0"/>
                                  <w:marBottom w:val="0"/>
                                  <w:divBdr>
                                    <w:top w:val="none" w:sz="0" w:space="0" w:color="auto"/>
                                    <w:left w:val="none" w:sz="0" w:space="0" w:color="auto"/>
                                    <w:bottom w:val="none" w:sz="0" w:space="0" w:color="auto"/>
                                    <w:right w:val="none" w:sz="0" w:space="0" w:color="auto"/>
                                  </w:divBdr>
                                  <w:divsChild>
                                    <w:div w:id="19609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1872124">
              <w:marLeft w:val="0"/>
              <w:marRight w:val="0"/>
              <w:marTop w:val="0"/>
              <w:marBottom w:val="0"/>
              <w:divBdr>
                <w:top w:val="none" w:sz="0" w:space="0" w:color="auto"/>
                <w:left w:val="none" w:sz="0" w:space="0" w:color="auto"/>
                <w:bottom w:val="none" w:sz="0" w:space="0" w:color="auto"/>
                <w:right w:val="none" w:sz="0" w:space="0" w:color="auto"/>
              </w:divBdr>
              <w:divsChild>
                <w:div w:id="447312628">
                  <w:marLeft w:val="0"/>
                  <w:marRight w:val="0"/>
                  <w:marTop w:val="0"/>
                  <w:marBottom w:val="0"/>
                  <w:divBdr>
                    <w:top w:val="none" w:sz="0" w:space="0" w:color="auto"/>
                    <w:left w:val="none" w:sz="0" w:space="0" w:color="auto"/>
                    <w:bottom w:val="none" w:sz="0" w:space="0" w:color="auto"/>
                    <w:right w:val="none" w:sz="0" w:space="0" w:color="auto"/>
                  </w:divBdr>
                  <w:divsChild>
                    <w:div w:id="1146429883">
                      <w:marLeft w:val="0"/>
                      <w:marRight w:val="0"/>
                      <w:marTop w:val="0"/>
                      <w:marBottom w:val="0"/>
                      <w:divBdr>
                        <w:top w:val="none" w:sz="0" w:space="0" w:color="auto"/>
                        <w:left w:val="none" w:sz="0" w:space="0" w:color="auto"/>
                        <w:bottom w:val="none" w:sz="0" w:space="0" w:color="auto"/>
                        <w:right w:val="none" w:sz="0" w:space="0" w:color="auto"/>
                      </w:divBdr>
                      <w:divsChild>
                        <w:div w:id="127166353">
                          <w:marLeft w:val="0"/>
                          <w:marRight w:val="0"/>
                          <w:marTop w:val="0"/>
                          <w:marBottom w:val="0"/>
                          <w:divBdr>
                            <w:top w:val="none" w:sz="0" w:space="0" w:color="auto"/>
                            <w:left w:val="none" w:sz="0" w:space="0" w:color="auto"/>
                            <w:bottom w:val="none" w:sz="0" w:space="0" w:color="auto"/>
                            <w:right w:val="none" w:sz="0" w:space="0" w:color="auto"/>
                          </w:divBdr>
                          <w:divsChild>
                            <w:div w:id="625311730">
                              <w:marLeft w:val="0"/>
                              <w:marRight w:val="0"/>
                              <w:marTop w:val="0"/>
                              <w:marBottom w:val="0"/>
                              <w:divBdr>
                                <w:top w:val="none" w:sz="0" w:space="0" w:color="auto"/>
                                <w:left w:val="none" w:sz="0" w:space="0" w:color="auto"/>
                                <w:bottom w:val="none" w:sz="0" w:space="0" w:color="auto"/>
                                <w:right w:val="none" w:sz="0" w:space="0" w:color="auto"/>
                              </w:divBdr>
                              <w:divsChild>
                                <w:div w:id="2134933427">
                                  <w:marLeft w:val="0"/>
                                  <w:marRight w:val="0"/>
                                  <w:marTop w:val="0"/>
                                  <w:marBottom w:val="0"/>
                                  <w:divBdr>
                                    <w:top w:val="none" w:sz="0" w:space="0" w:color="auto"/>
                                    <w:left w:val="none" w:sz="0" w:space="0" w:color="auto"/>
                                    <w:bottom w:val="none" w:sz="0" w:space="0" w:color="auto"/>
                                    <w:right w:val="none" w:sz="0" w:space="0" w:color="auto"/>
                                  </w:divBdr>
                                  <w:divsChild>
                                    <w:div w:id="1756854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6718774">
              <w:marLeft w:val="0"/>
              <w:marRight w:val="0"/>
              <w:marTop w:val="0"/>
              <w:marBottom w:val="0"/>
              <w:divBdr>
                <w:top w:val="none" w:sz="0" w:space="0" w:color="auto"/>
                <w:left w:val="none" w:sz="0" w:space="0" w:color="auto"/>
                <w:bottom w:val="none" w:sz="0" w:space="0" w:color="auto"/>
                <w:right w:val="none" w:sz="0" w:space="0" w:color="auto"/>
              </w:divBdr>
              <w:divsChild>
                <w:div w:id="1696077370">
                  <w:marLeft w:val="0"/>
                  <w:marRight w:val="0"/>
                  <w:marTop w:val="0"/>
                  <w:marBottom w:val="0"/>
                  <w:divBdr>
                    <w:top w:val="none" w:sz="0" w:space="0" w:color="auto"/>
                    <w:left w:val="none" w:sz="0" w:space="0" w:color="auto"/>
                    <w:bottom w:val="none" w:sz="0" w:space="0" w:color="auto"/>
                    <w:right w:val="none" w:sz="0" w:space="0" w:color="auto"/>
                  </w:divBdr>
                  <w:divsChild>
                    <w:div w:id="298195459">
                      <w:marLeft w:val="0"/>
                      <w:marRight w:val="0"/>
                      <w:marTop w:val="0"/>
                      <w:marBottom w:val="0"/>
                      <w:divBdr>
                        <w:top w:val="none" w:sz="0" w:space="0" w:color="auto"/>
                        <w:left w:val="none" w:sz="0" w:space="0" w:color="auto"/>
                        <w:bottom w:val="none" w:sz="0" w:space="0" w:color="auto"/>
                        <w:right w:val="none" w:sz="0" w:space="0" w:color="auto"/>
                      </w:divBdr>
                      <w:divsChild>
                        <w:div w:id="344476948">
                          <w:marLeft w:val="0"/>
                          <w:marRight w:val="0"/>
                          <w:marTop w:val="0"/>
                          <w:marBottom w:val="0"/>
                          <w:divBdr>
                            <w:top w:val="none" w:sz="0" w:space="0" w:color="auto"/>
                            <w:left w:val="none" w:sz="0" w:space="0" w:color="auto"/>
                            <w:bottom w:val="none" w:sz="0" w:space="0" w:color="auto"/>
                            <w:right w:val="none" w:sz="0" w:space="0" w:color="auto"/>
                          </w:divBdr>
                          <w:divsChild>
                            <w:div w:id="1434474406">
                              <w:marLeft w:val="0"/>
                              <w:marRight w:val="0"/>
                              <w:marTop w:val="0"/>
                              <w:marBottom w:val="0"/>
                              <w:divBdr>
                                <w:top w:val="none" w:sz="0" w:space="0" w:color="auto"/>
                                <w:left w:val="none" w:sz="0" w:space="0" w:color="auto"/>
                                <w:bottom w:val="none" w:sz="0" w:space="0" w:color="auto"/>
                                <w:right w:val="none" w:sz="0" w:space="0" w:color="auto"/>
                              </w:divBdr>
                              <w:divsChild>
                                <w:div w:id="1266426050">
                                  <w:marLeft w:val="0"/>
                                  <w:marRight w:val="0"/>
                                  <w:marTop w:val="0"/>
                                  <w:marBottom w:val="0"/>
                                  <w:divBdr>
                                    <w:top w:val="none" w:sz="0" w:space="0" w:color="auto"/>
                                    <w:left w:val="none" w:sz="0" w:space="0" w:color="auto"/>
                                    <w:bottom w:val="none" w:sz="0" w:space="0" w:color="auto"/>
                                    <w:right w:val="none" w:sz="0" w:space="0" w:color="auto"/>
                                  </w:divBdr>
                                  <w:divsChild>
                                    <w:div w:id="74673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880446">
              <w:marLeft w:val="0"/>
              <w:marRight w:val="0"/>
              <w:marTop w:val="0"/>
              <w:marBottom w:val="0"/>
              <w:divBdr>
                <w:top w:val="none" w:sz="0" w:space="0" w:color="auto"/>
                <w:left w:val="none" w:sz="0" w:space="0" w:color="auto"/>
                <w:bottom w:val="none" w:sz="0" w:space="0" w:color="auto"/>
                <w:right w:val="none" w:sz="0" w:space="0" w:color="auto"/>
              </w:divBdr>
              <w:divsChild>
                <w:div w:id="466894542">
                  <w:marLeft w:val="0"/>
                  <w:marRight w:val="0"/>
                  <w:marTop w:val="0"/>
                  <w:marBottom w:val="0"/>
                  <w:divBdr>
                    <w:top w:val="none" w:sz="0" w:space="0" w:color="auto"/>
                    <w:left w:val="none" w:sz="0" w:space="0" w:color="auto"/>
                    <w:bottom w:val="none" w:sz="0" w:space="0" w:color="auto"/>
                    <w:right w:val="none" w:sz="0" w:space="0" w:color="auto"/>
                  </w:divBdr>
                  <w:divsChild>
                    <w:div w:id="1345980694">
                      <w:marLeft w:val="0"/>
                      <w:marRight w:val="0"/>
                      <w:marTop w:val="0"/>
                      <w:marBottom w:val="0"/>
                      <w:divBdr>
                        <w:top w:val="none" w:sz="0" w:space="0" w:color="auto"/>
                        <w:left w:val="none" w:sz="0" w:space="0" w:color="auto"/>
                        <w:bottom w:val="none" w:sz="0" w:space="0" w:color="auto"/>
                        <w:right w:val="none" w:sz="0" w:space="0" w:color="auto"/>
                      </w:divBdr>
                      <w:divsChild>
                        <w:div w:id="1297181512">
                          <w:marLeft w:val="0"/>
                          <w:marRight w:val="0"/>
                          <w:marTop w:val="0"/>
                          <w:marBottom w:val="0"/>
                          <w:divBdr>
                            <w:top w:val="none" w:sz="0" w:space="0" w:color="auto"/>
                            <w:left w:val="none" w:sz="0" w:space="0" w:color="auto"/>
                            <w:bottom w:val="none" w:sz="0" w:space="0" w:color="auto"/>
                            <w:right w:val="none" w:sz="0" w:space="0" w:color="auto"/>
                          </w:divBdr>
                          <w:divsChild>
                            <w:div w:id="817919610">
                              <w:marLeft w:val="0"/>
                              <w:marRight w:val="0"/>
                              <w:marTop w:val="0"/>
                              <w:marBottom w:val="0"/>
                              <w:divBdr>
                                <w:top w:val="none" w:sz="0" w:space="0" w:color="auto"/>
                                <w:left w:val="none" w:sz="0" w:space="0" w:color="auto"/>
                                <w:bottom w:val="none" w:sz="0" w:space="0" w:color="auto"/>
                                <w:right w:val="none" w:sz="0" w:space="0" w:color="auto"/>
                              </w:divBdr>
                              <w:divsChild>
                                <w:div w:id="1560902135">
                                  <w:marLeft w:val="0"/>
                                  <w:marRight w:val="0"/>
                                  <w:marTop w:val="0"/>
                                  <w:marBottom w:val="0"/>
                                  <w:divBdr>
                                    <w:top w:val="none" w:sz="0" w:space="0" w:color="auto"/>
                                    <w:left w:val="none" w:sz="0" w:space="0" w:color="auto"/>
                                    <w:bottom w:val="none" w:sz="0" w:space="0" w:color="auto"/>
                                    <w:right w:val="none" w:sz="0" w:space="0" w:color="auto"/>
                                  </w:divBdr>
                                  <w:divsChild>
                                    <w:div w:id="505167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8883667">
              <w:marLeft w:val="0"/>
              <w:marRight w:val="0"/>
              <w:marTop w:val="0"/>
              <w:marBottom w:val="0"/>
              <w:divBdr>
                <w:top w:val="none" w:sz="0" w:space="0" w:color="auto"/>
                <w:left w:val="none" w:sz="0" w:space="0" w:color="auto"/>
                <w:bottom w:val="none" w:sz="0" w:space="0" w:color="auto"/>
                <w:right w:val="none" w:sz="0" w:space="0" w:color="auto"/>
              </w:divBdr>
              <w:divsChild>
                <w:div w:id="846598641">
                  <w:marLeft w:val="0"/>
                  <w:marRight w:val="0"/>
                  <w:marTop w:val="0"/>
                  <w:marBottom w:val="0"/>
                  <w:divBdr>
                    <w:top w:val="none" w:sz="0" w:space="0" w:color="auto"/>
                    <w:left w:val="none" w:sz="0" w:space="0" w:color="auto"/>
                    <w:bottom w:val="none" w:sz="0" w:space="0" w:color="auto"/>
                    <w:right w:val="none" w:sz="0" w:space="0" w:color="auto"/>
                  </w:divBdr>
                  <w:divsChild>
                    <w:div w:id="1531719334">
                      <w:marLeft w:val="0"/>
                      <w:marRight w:val="0"/>
                      <w:marTop w:val="0"/>
                      <w:marBottom w:val="0"/>
                      <w:divBdr>
                        <w:top w:val="none" w:sz="0" w:space="0" w:color="auto"/>
                        <w:left w:val="none" w:sz="0" w:space="0" w:color="auto"/>
                        <w:bottom w:val="none" w:sz="0" w:space="0" w:color="auto"/>
                        <w:right w:val="none" w:sz="0" w:space="0" w:color="auto"/>
                      </w:divBdr>
                      <w:divsChild>
                        <w:div w:id="63576351">
                          <w:marLeft w:val="0"/>
                          <w:marRight w:val="0"/>
                          <w:marTop w:val="0"/>
                          <w:marBottom w:val="0"/>
                          <w:divBdr>
                            <w:top w:val="none" w:sz="0" w:space="0" w:color="auto"/>
                            <w:left w:val="none" w:sz="0" w:space="0" w:color="auto"/>
                            <w:bottom w:val="none" w:sz="0" w:space="0" w:color="auto"/>
                            <w:right w:val="none" w:sz="0" w:space="0" w:color="auto"/>
                          </w:divBdr>
                          <w:divsChild>
                            <w:div w:id="177503294">
                              <w:marLeft w:val="0"/>
                              <w:marRight w:val="0"/>
                              <w:marTop w:val="0"/>
                              <w:marBottom w:val="0"/>
                              <w:divBdr>
                                <w:top w:val="none" w:sz="0" w:space="0" w:color="auto"/>
                                <w:left w:val="none" w:sz="0" w:space="0" w:color="auto"/>
                                <w:bottom w:val="none" w:sz="0" w:space="0" w:color="auto"/>
                                <w:right w:val="none" w:sz="0" w:space="0" w:color="auto"/>
                              </w:divBdr>
                              <w:divsChild>
                                <w:div w:id="1048719504">
                                  <w:marLeft w:val="0"/>
                                  <w:marRight w:val="0"/>
                                  <w:marTop w:val="0"/>
                                  <w:marBottom w:val="0"/>
                                  <w:divBdr>
                                    <w:top w:val="none" w:sz="0" w:space="0" w:color="auto"/>
                                    <w:left w:val="none" w:sz="0" w:space="0" w:color="auto"/>
                                    <w:bottom w:val="none" w:sz="0" w:space="0" w:color="auto"/>
                                    <w:right w:val="none" w:sz="0" w:space="0" w:color="auto"/>
                                  </w:divBdr>
                                  <w:divsChild>
                                    <w:div w:id="242760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6783454">
              <w:marLeft w:val="0"/>
              <w:marRight w:val="0"/>
              <w:marTop w:val="0"/>
              <w:marBottom w:val="0"/>
              <w:divBdr>
                <w:top w:val="none" w:sz="0" w:space="0" w:color="auto"/>
                <w:left w:val="none" w:sz="0" w:space="0" w:color="auto"/>
                <w:bottom w:val="none" w:sz="0" w:space="0" w:color="auto"/>
                <w:right w:val="none" w:sz="0" w:space="0" w:color="auto"/>
              </w:divBdr>
              <w:divsChild>
                <w:div w:id="1973436172">
                  <w:marLeft w:val="0"/>
                  <w:marRight w:val="0"/>
                  <w:marTop w:val="0"/>
                  <w:marBottom w:val="0"/>
                  <w:divBdr>
                    <w:top w:val="none" w:sz="0" w:space="0" w:color="auto"/>
                    <w:left w:val="none" w:sz="0" w:space="0" w:color="auto"/>
                    <w:bottom w:val="none" w:sz="0" w:space="0" w:color="auto"/>
                    <w:right w:val="none" w:sz="0" w:space="0" w:color="auto"/>
                  </w:divBdr>
                  <w:divsChild>
                    <w:div w:id="465318228">
                      <w:marLeft w:val="0"/>
                      <w:marRight w:val="0"/>
                      <w:marTop w:val="0"/>
                      <w:marBottom w:val="0"/>
                      <w:divBdr>
                        <w:top w:val="none" w:sz="0" w:space="0" w:color="auto"/>
                        <w:left w:val="none" w:sz="0" w:space="0" w:color="auto"/>
                        <w:bottom w:val="none" w:sz="0" w:space="0" w:color="auto"/>
                        <w:right w:val="none" w:sz="0" w:space="0" w:color="auto"/>
                      </w:divBdr>
                      <w:divsChild>
                        <w:div w:id="925262699">
                          <w:marLeft w:val="0"/>
                          <w:marRight w:val="0"/>
                          <w:marTop w:val="0"/>
                          <w:marBottom w:val="0"/>
                          <w:divBdr>
                            <w:top w:val="none" w:sz="0" w:space="0" w:color="auto"/>
                            <w:left w:val="none" w:sz="0" w:space="0" w:color="auto"/>
                            <w:bottom w:val="none" w:sz="0" w:space="0" w:color="auto"/>
                            <w:right w:val="none" w:sz="0" w:space="0" w:color="auto"/>
                          </w:divBdr>
                          <w:divsChild>
                            <w:div w:id="354229501">
                              <w:marLeft w:val="0"/>
                              <w:marRight w:val="0"/>
                              <w:marTop w:val="0"/>
                              <w:marBottom w:val="0"/>
                              <w:divBdr>
                                <w:top w:val="none" w:sz="0" w:space="0" w:color="auto"/>
                                <w:left w:val="none" w:sz="0" w:space="0" w:color="auto"/>
                                <w:bottom w:val="none" w:sz="0" w:space="0" w:color="auto"/>
                                <w:right w:val="none" w:sz="0" w:space="0" w:color="auto"/>
                              </w:divBdr>
                              <w:divsChild>
                                <w:div w:id="306789748">
                                  <w:marLeft w:val="0"/>
                                  <w:marRight w:val="0"/>
                                  <w:marTop w:val="0"/>
                                  <w:marBottom w:val="0"/>
                                  <w:divBdr>
                                    <w:top w:val="none" w:sz="0" w:space="0" w:color="auto"/>
                                    <w:left w:val="none" w:sz="0" w:space="0" w:color="auto"/>
                                    <w:bottom w:val="none" w:sz="0" w:space="0" w:color="auto"/>
                                    <w:right w:val="none" w:sz="0" w:space="0" w:color="auto"/>
                                  </w:divBdr>
                                  <w:divsChild>
                                    <w:div w:id="1578592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6901174">
          <w:marLeft w:val="0"/>
          <w:marRight w:val="0"/>
          <w:marTop w:val="0"/>
          <w:marBottom w:val="0"/>
          <w:divBdr>
            <w:top w:val="none" w:sz="0" w:space="0" w:color="auto"/>
            <w:left w:val="none" w:sz="0" w:space="0" w:color="auto"/>
            <w:bottom w:val="none" w:sz="0" w:space="0" w:color="auto"/>
            <w:right w:val="none" w:sz="0" w:space="0" w:color="auto"/>
          </w:divBdr>
          <w:divsChild>
            <w:div w:id="132915336">
              <w:marLeft w:val="0"/>
              <w:marRight w:val="0"/>
              <w:marTop w:val="0"/>
              <w:marBottom w:val="0"/>
              <w:divBdr>
                <w:top w:val="none" w:sz="0" w:space="0" w:color="auto"/>
                <w:left w:val="none" w:sz="0" w:space="0" w:color="auto"/>
                <w:bottom w:val="none" w:sz="0" w:space="0" w:color="auto"/>
                <w:right w:val="none" w:sz="0" w:space="0" w:color="auto"/>
              </w:divBdr>
              <w:divsChild>
                <w:div w:id="176583985">
                  <w:marLeft w:val="0"/>
                  <w:marRight w:val="0"/>
                  <w:marTop w:val="0"/>
                  <w:marBottom w:val="0"/>
                  <w:divBdr>
                    <w:top w:val="none" w:sz="0" w:space="0" w:color="auto"/>
                    <w:left w:val="none" w:sz="0" w:space="0" w:color="auto"/>
                    <w:bottom w:val="none" w:sz="0" w:space="0" w:color="auto"/>
                    <w:right w:val="none" w:sz="0" w:space="0" w:color="auto"/>
                  </w:divBdr>
                  <w:divsChild>
                    <w:div w:id="1527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7148758">
      <w:bodyDiv w:val="1"/>
      <w:marLeft w:val="0"/>
      <w:marRight w:val="0"/>
      <w:marTop w:val="0"/>
      <w:marBottom w:val="0"/>
      <w:divBdr>
        <w:top w:val="none" w:sz="0" w:space="0" w:color="auto"/>
        <w:left w:val="none" w:sz="0" w:space="0" w:color="auto"/>
        <w:bottom w:val="none" w:sz="0" w:space="0" w:color="auto"/>
        <w:right w:val="none" w:sz="0" w:space="0" w:color="auto"/>
      </w:divBdr>
    </w:div>
    <w:div w:id="323899532">
      <w:bodyDiv w:val="1"/>
      <w:marLeft w:val="0"/>
      <w:marRight w:val="0"/>
      <w:marTop w:val="0"/>
      <w:marBottom w:val="0"/>
      <w:divBdr>
        <w:top w:val="none" w:sz="0" w:space="0" w:color="auto"/>
        <w:left w:val="none" w:sz="0" w:space="0" w:color="auto"/>
        <w:bottom w:val="none" w:sz="0" w:space="0" w:color="auto"/>
        <w:right w:val="none" w:sz="0" w:space="0" w:color="auto"/>
      </w:divBdr>
      <w:divsChild>
        <w:div w:id="1431124533">
          <w:marLeft w:val="0"/>
          <w:marRight w:val="0"/>
          <w:marTop w:val="0"/>
          <w:marBottom w:val="0"/>
          <w:divBdr>
            <w:top w:val="none" w:sz="0" w:space="0" w:color="auto"/>
            <w:left w:val="none" w:sz="0" w:space="0" w:color="auto"/>
            <w:bottom w:val="none" w:sz="0" w:space="0" w:color="auto"/>
            <w:right w:val="none" w:sz="0" w:space="0" w:color="auto"/>
          </w:divBdr>
          <w:divsChild>
            <w:div w:id="394010255">
              <w:marLeft w:val="0"/>
              <w:marRight w:val="0"/>
              <w:marTop w:val="0"/>
              <w:marBottom w:val="0"/>
              <w:divBdr>
                <w:top w:val="none" w:sz="0" w:space="0" w:color="auto"/>
                <w:left w:val="none" w:sz="0" w:space="0" w:color="auto"/>
                <w:bottom w:val="none" w:sz="0" w:space="0" w:color="auto"/>
                <w:right w:val="none" w:sz="0" w:space="0" w:color="auto"/>
              </w:divBdr>
              <w:divsChild>
                <w:div w:id="870604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964627">
      <w:bodyDiv w:val="1"/>
      <w:marLeft w:val="0"/>
      <w:marRight w:val="0"/>
      <w:marTop w:val="0"/>
      <w:marBottom w:val="0"/>
      <w:divBdr>
        <w:top w:val="none" w:sz="0" w:space="0" w:color="auto"/>
        <w:left w:val="none" w:sz="0" w:space="0" w:color="auto"/>
        <w:bottom w:val="none" w:sz="0" w:space="0" w:color="auto"/>
        <w:right w:val="none" w:sz="0" w:space="0" w:color="auto"/>
      </w:divBdr>
    </w:div>
    <w:div w:id="436827119">
      <w:bodyDiv w:val="1"/>
      <w:marLeft w:val="0"/>
      <w:marRight w:val="0"/>
      <w:marTop w:val="0"/>
      <w:marBottom w:val="0"/>
      <w:divBdr>
        <w:top w:val="none" w:sz="0" w:space="0" w:color="auto"/>
        <w:left w:val="none" w:sz="0" w:space="0" w:color="auto"/>
        <w:bottom w:val="none" w:sz="0" w:space="0" w:color="auto"/>
        <w:right w:val="none" w:sz="0" w:space="0" w:color="auto"/>
      </w:divBdr>
    </w:div>
    <w:div w:id="487064825">
      <w:bodyDiv w:val="1"/>
      <w:marLeft w:val="0"/>
      <w:marRight w:val="0"/>
      <w:marTop w:val="0"/>
      <w:marBottom w:val="0"/>
      <w:divBdr>
        <w:top w:val="none" w:sz="0" w:space="0" w:color="auto"/>
        <w:left w:val="none" w:sz="0" w:space="0" w:color="auto"/>
        <w:bottom w:val="none" w:sz="0" w:space="0" w:color="auto"/>
        <w:right w:val="none" w:sz="0" w:space="0" w:color="auto"/>
      </w:divBdr>
      <w:divsChild>
        <w:div w:id="1541866473">
          <w:marLeft w:val="0"/>
          <w:marRight w:val="0"/>
          <w:marTop w:val="0"/>
          <w:marBottom w:val="0"/>
          <w:divBdr>
            <w:top w:val="none" w:sz="0" w:space="0" w:color="auto"/>
            <w:left w:val="none" w:sz="0" w:space="0" w:color="auto"/>
            <w:bottom w:val="none" w:sz="0" w:space="0" w:color="auto"/>
            <w:right w:val="none" w:sz="0" w:space="0" w:color="auto"/>
          </w:divBdr>
          <w:divsChild>
            <w:div w:id="1646621376">
              <w:marLeft w:val="0"/>
              <w:marRight w:val="0"/>
              <w:marTop w:val="0"/>
              <w:marBottom w:val="0"/>
              <w:divBdr>
                <w:top w:val="none" w:sz="0" w:space="0" w:color="auto"/>
                <w:left w:val="none" w:sz="0" w:space="0" w:color="auto"/>
                <w:bottom w:val="none" w:sz="0" w:space="0" w:color="auto"/>
                <w:right w:val="none" w:sz="0" w:space="0" w:color="auto"/>
              </w:divBdr>
              <w:divsChild>
                <w:div w:id="339893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063602">
      <w:bodyDiv w:val="1"/>
      <w:marLeft w:val="0"/>
      <w:marRight w:val="0"/>
      <w:marTop w:val="0"/>
      <w:marBottom w:val="0"/>
      <w:divBdr>
        <w:top w:val="none" w:sz="0" w:space="0" w:color="auto"/>
        <w:left w:val="none" w:sz="0" w:space="0" w:color="auto"/>
        <w:bottom w:val="none" w:sz="0" w:space="0" w:color="auto"/>
        <w:right w:val="none" w:sz="0" w:space="0" w:color="auto"/>
      </w:divBdr>
    </w:div>
    <w:div w:id="496920451">
      <w:bodyDiv w:val="1"/>
      <w:marLeft w:val="0"/>
      <w:marRight w:val="0"/>
      <w:marTop w:val="0"/>
      <w:marBottom w:val="0"/>
      <w:divBdr>
        <w:top w:val="none" w:sz="0" w:space="0" w:color="auto"/>
        <w:left w:val="none" w:sz="0" w:space="0" w:color="auto"/>
        <w:bottom w:val="none" w:sz="0" w:space="0" w:color="auto"/>
        <w:right w:val="none" w:sz="0" w:space="0" w:color="auto"/>
      </w:divBdr>
      <w:divsChild>
        <w:div w:id="1590120357">
          <w:marLeft w:val="0"/>
          <w:marRight w:val="0"/>
          <w:marTop w:val="0"/>
          <w:marBottom w:val="0"/>
          <w:divBdr>
            <w:top w:val="none" w:sz="0" w:space="0" w:color="auto"/>
            <w:left w:val="none" w:sz="0" w:space="0" w:color="auto"/>
            <w:bottom w:val="none" w:sz="0" w:space="0" w:color="auto"/>
            <w:right w:val="none" w:sz="0" w:space="0" w:color="auto"/>
          </w:divBdr>
          <w:divsChild>
            <w:div w:id="1999647470">
              <w:marLeft w:val="0"/>
              <w:marRight w:val="0"/>
              <w:marTop w:val="0"/>
              <w:marBottom w:val="0"/>
              <w:divBdr>
                <w:top w:val="none" w:sz="0" w:space="0" w:color="auto"/>
                <w:left w:val="none" w:sz="0" w:space="0" w:color="auto"/>
                <w:bottom w:val="none" w:sz="0" w:space="0" w:color="auto"/>
                <w:right w:val="none" w:sz="0" w:space="0" w:color="auto"/>
              </w:divBdr>
              <w:divsChild>
                <w:div w:id="34952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7428712">
      <w:bodyDiv w:val="1"/>
      <w:marLeft w:val="0"/>
      <w:marRight w:val="0"/>
      <w:marTop w:val="0"/>
      <w:marBottom w:val="0"/>
      <w:divBdr>
        <w:top w:val="none" w:sz="0" w:space="0" w:color="auto"/>
        <w:left w:val="none" w:sz="0" w:space="0" w:color="auto"/>
        <w:bottom w:val="none" w:sz="0" w:space="0" w:color="auto"/>
        <w:right w:val="none" w:sz="0" w:space="0" w:color="auto"/>
      </w:divBdr>
      <w:divsChild>
        <w:div w:id="782964752">
          <w:marLeft w:val="0"/>
          <w:marRight w:val="0"/>
          <w:marTop w:val="0"/>
          <w:marBottom w:val="0"/>
          <w:divBdr>
            <w:top w:val="none" w:sz="0" w:space="0" w:color="auto"/>
            <w:left w:val="none" w:sz="0" w:space="0" w:color="auto"/>
            <w:bottom w:val="none" w:sz="0" w:space="0" w:color="auto"/>
            <w:right w:val="none" w:sz="0" w:space="0" w:color="auto"/>
          </w:divBdr>
          <w:divsChild>
            <w:div w:id="1880623843">
              <w:marLeft w:val="0"/>
              <w:marRight w:val="0"/>
              <w:marTop w:val="0"/>
              <w:marBottom w:val="0"/>
              <w:divBdr>
                <w:top w:val="none" w:sz="0" w:space="0" w:color="auto"/>
                <w:left w:val="none" w:sz="0" w:space="0" w:color="auto"/>
                <w:bottom w:val="none" w:sz="0" w:space="0" w:color="auto"/>
                <w:right w:val="none" w:sz="0" w:space="0" w:color="auto"/>
              </w:divBdr>
              <w:divsChild>
                <w:div w:id="1185284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4460661">
      <w:bodyDiv w:val="1"/>
      <w:marLeft w:val="0"/>
      <w:marRight w:val="0"/>
      <w:marTop w:val="0"/>
      <w:marBottom w:val="0"/>
      <w:divBdr>
        <w:top w:val="none" w:sz="0" w:space="0" w:color="auto"/>
        <w:left w:val="none" w:sz="0" w:space="0" w:color="auto"/>
        <w:bottom w:val="none" w:sz="0" w:space="0" w:color="auto"/>
        <w:right w:val="none" w:sz="0" w:space="0" w:color="auto"/>
      </w:divBdr>
      <w:divsChild>
        <w:div w:id="1370033631">
          <w:marLeft w:val="0"/>
          <w:marRight w:val="0"/>
          <w:marTop w:val="0"/>
          <w:marBottom w:val="0"/>
          <w:divBdr>
            <w:top w:val="none" w:sz="0" w:space="0" w:color="auto"/>
            <w:left w:val="none" w:sz="0" w:space="0" w:color="auto"/>
            <w:bottom w:val="none" w:sz="0" w:space="0" w:color="auto"/>
            <w:right w:val="none" w:sz="0" w:space="0" w:color="auto"/>
          </w:divBdr>
          <w:divsChild>
            <w:div w:id="956716704">
              <w:marLeft w:val="0"/>
              <w:marRight w:val="0"/>
              <w:marTop w:val="0"/>
              <w:marBottom w:val="0"/>
              <w:divBdr>
                <w:top w:val="none" w:sz="0" w:space="0" w:color="auto"/>
                <w:left w:val="none" w:sz="0" w:space="0" w:color="auto"/>
                <w:bottom w:val="none" w:sz="0" w:space="0" w:color="auto"/>
                <w:right w:val="none" w:sz="0" w:space="0" w:color="auto"/>
              </w:divBdr>
              <w:divsChild>
                <w:div w:id="21637808">
                  <w:marLeft w:val="0"/>
                  <w:marRight w:val="0"/>
                  <w:marTop w:val="0"/>
                  <w:marBottom w:val="0"/>
                  <w:divBdr>
                    <w:top w:val="none" w:sz="0" w:space="0" w:color="auto"/>
                    <w:left w:val="none" w:sz="0" w:space="0" w:color="auto"/>
                    <w:bottom w:val="none" w:sz="0" w:space="0" w:color="auto"/>
                    <w:right w:val="none" w:sz="0" w:space="0" w:color="auto"/>
                  </w:divBdr>
                  <w:divsChild>
                    <w:div w:id="435709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4776046">
      <w:bodyDiv w:val="1"/>
      <w:marLeft w:val="0"/>
      <w:marRight w:val="0"/>
      <w:marTop w:val="0"/>
      <w:marBottom w:val="0"/>
      <w:divBdr>
        <w:top w:val="none" w:sz="0" w:space="0" w:color="auto"/>
        <w:left w:val="none" w:sz="0" w:space="0" w:color="auto"/>
        <w:bottom w:val="none" w:sz="0" w:space="0" w:color="auto"/>
        <w:right w:val="none" w:sz="0" w:space="0" w:color="auto"/>
      </w:divBdr>
    </w:div>
    <w:div w:id="536940568">
      <w:bodyDiv w:val="1"/>
      <w:marLeft w:val="0"/>
      <w:marRight w:val="0"/>
      <w:marTop w:val="0"/>
      <w:marBottom w:val="0"/>
      <w:divBdr>
        <w:top w:val="none" w:sz="0" w:space="0" w:color="auto"/>
        <w:left w:val="none" w:sz="0" w:space="0" w:color="auto"/>
        <w:bottom w:val="none" w:sz="0" w:space="0" w:color="auto"/>
        <w:right w:val="none" w:sz="0" w:space="0" w:color="auto"/>
      </w:divBdr>
      <w:divsChild>
        <w:div w:id="1862090207">
          <w:marLeft w:val="0"/>
          <w:marRight w:val="0"/>
          <w:marTop w:val="0"/>
          <w:marBottom w:val="0"/>
          <w:divBdr>
            <w:top w:val="none" w:sz="0" w:space="0" w:color="auto"/>
            <w:left w:val="none" w:sz="0" w:space="0" w:color="auto"/>
            <w:bottom w:val="none" w:sz="0" w:space="0" w:color="auto"/>
            <w:right w:val="none" w:sz="0" w:space="0" w:color="auto"/>
          </w:divBdr>
          <w:divsChild>
            <w:div w:id="91584076">
              <w:marLeft w:val="0"/>
              <w:marRight w:val="0"/>
              <w:marTop w:val="0"/>
              <w:marBottom w:val="0"/>
              <w:divBdr>
                <w:top w:val="none" w:sz="0" w:space="0" w:color="auto"/>
                <w:left w:val="none" w:sz="0" w:space="0" w:color="auto"/>
                <w:bottom w:val="none" w:sz="0" w:space="0" w:color="auto"/>
                <w:right w:val="none" w:sz="0" w:space="0" w:color="auto"/>
              </w:divBdr>
              <w:divsChild>
                <w:div w:id="80917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795029">
      <w:bodyDiv w:val="1"/>
      <w:marLeft w:val="0"/>
      <w:marRight w:val="0"/>
      <w:marTop w:val="0"/>
      <w:marBottom w:val="0"/>
      <w:divBdr>
        <w:top w:val="none" w:sz="0" w:space="0" w:color="auto"/>
        <w:left w:val="none" w:sz="0" w:space="0" w:color="auto"/>
        <w:bottom w:val="none" w:sz="0" w:space="0" w:color="auto"/>
        <w:right w:val="none" w:sz="0" w:space="0" w:color="auto"/>
      </w:divBdr>
      <w:divsChild>
        <w:div w:id="273443154">
          <w:marLeft w:val="0"/>
          <w:marRight w:val="0"/>
          <w:marTop w:val="0"/>
          <w:marBottom w:val="0"/>
          <w:divBdr>
            <w:top w:val="none" w:sz="0" w:space="0" w:color="auto"/>
            <w:left w:val="none" w:sz="0" w:space="0" w:color="auto"/>
            <w:bottom w:val="none" w:sz="0" w:space="0" w:color="auto"/>
            <w:right w:val="none" w:sz="0" w:space="0" w:color="auto"/>
          </w:divBdr>
          <w:divsChild>
            <w:div w:id="1010135198">
              <w:marLeft w:val="0"/>
              <w:marRight w:val="0"/>
              <w:marTop w:val="0"/>
              <w:marBottom w:val="0"/>
              <w:divBdr>
                <w:top w:val="none" w:sz="0" w:space="0" w:color="auto"/>
                <w:left w:val="none" w:sz="0" w:space="0" w:color="auto"/>
                <w:bottom w:val="none" w:sz="0" w:space="0" w:color="auto"/>
                <w:right w:val="none" w:sz="0" w:space="0" w:color="auto"/>
              </w:divBdr>
              <w:divsChild>
                <w:div w:id="1475294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123333">
      <w:bodyDiv w:val="1"/>
      <w:marLeft w:val="0"/>
      <w:marRight w:val="0"/>
      <w:marTop w:val="0"/>
      <w:marBottom w:val="0"/>
      <w:divBdr>
        <w:top w:val="none" w:sz="0" w:space="0" w:color="auto"/>
        <w:left w:val="none" w:sz="0" w:space="0" w:color="auto"/>
        <w:bottom w:val="none" w:sz="0" w:space="0" w:color="auto"/>
        <w:right w:val="none" w:sz="0" w:space="0" w:color="auto"/>
      </w:divBdr>
      <w:divsChild>
        <w:div w:id="1929653716">
          <w:marLeft w:val="0"/>
          <w:marRight w:val="0"/>
          <w:marTop w:val="0"/>
          <w:marBottom w:val="0"/>
          <w:divBdr>
            <w:top w:val="none" w:sz="0" w:space="0" w:color="auto"/>
            <w:left w:val="none" w:sz="0" w:space="0" w:color="auto"/>
            <w:bottom w:val="none" w:sz="0" w:space="0" w:color="auto"/>
            <w:right w:val="none" w:sz="0" w:space="0" w:color="auto"/>
          </w:divBdr>
          <w:divsChild>
            <w:div w:id="349068431">
              <w:marLeft w:val="0"/>
              <w:marRight w:val="0"/>
              <w:marTop w:val="0"/>
              <w:marBottom w:val="0"/>
              <w:divBdr>
                <w:top w:val="none" w:sz="0" w:space="0" w:color="auto"/>
                <w:left w:val="none" w:sz="0" w:space="0" w:color="auto"/>
                <w:bottom w:val="none" w:sz="0" w:space="0" w:color="auto"/>
                <w:right w:val="none" w:sz="0" w:space="0" w:color="auto"/>
              </w:divBdr>
              <w:divsChild>
                <w:div w:id="163579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8540865">
      <w:bodyDiv w:val="1"/>
      <w:marLeft w:val="0"/>
      <w:marRight w:val="0"/>
      <w:marTop w:val="0"/>
      <w:marBottom w:val="0"/>
      <w:divBdr>
        <w:top w:val="none" w:sz="0" w:space="0" w:color="auto"/>
        <w:left w:val="none" w:sz="0" w:space="0" w:color="auto"/>
        <w:bottom w:val="none" w:sz="0" w:space="0" w:color="auto"/>
        <w:right w:val="none" w:sz="0" w:space="0" w:color="auto"/>
      </w:divBdr>
      <w:divsChild>
        <w:div w:id="826362767">
          <w:marLeft w:val="0"/>
          <w:marRight w:val="0"/>
          <w:marTop w:val="0"/>
          <w:marBottom w:val="0"/>
          <w:divBdr>
            <w:top w:val="none" w:sz="0" w:space="0" w:color="auto"/>
            <w:left w:val="none" w:sz="0" w:space="0" w:color="auto"/>
            <w:bottom w:val="none" w:sz="0" w:space="0" w:color="auto"/>
            <w:right w:val="none" w:sz="0" w:space="0" w:color="auto"/>
          </w:divBdr>
          <w:divsChild>
            <w:div w:id="89858752">
              <w:marLeft w:val="0"/>
              <w:marRight w:val="0"/>
              <w:marTop w:val="0"/>
              <w:marBottom w:val="0"/>
              <w:divBdr>
                <w:top w:val="none" w:sz="0" w:space="0" w:color="auto"/>
                <w:left w:val="none" w:sz="0" w:space="0" w:color="auto"/>
                <w:bottom w:val="none" w:sz="0" w:space="0" w:color="auto"/>
                <w:right w:val="none" w:sz="0" w:space="0" w:color="auto"/>
              </w:divBdr>
              <w:divsChild>
                <w:div w:id="31892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191804">
          <w:marLeft w:val="0"/>
          <w:marRight w:val="0"/>
          <w:marTop w:val="0"/>
          <w:marBottom w:val="0"/>
          <w:divBdr>
            <w:top w:val="none" w:sz="0" w:space="0" w:color="auto"/>
            <w:left w:val="none" w:sz="0" w:space="0" w:color="auto"/>
            <w:bottom w:val="none" w:sz="0" w:space="0" w:color="auto"/>
            <w:right w:val="none" w:sz="0" w:space="0" w:color="auto"/>
          </w:divBdr>
          <w:divsChild>
            <w:div w:id="1880048018">
              <w:marLeft w:val="0"/>
              <w:marRight w:val="0"/>
              <w:marTop w:val="0"/>
              <w:marBottom w:val="0"/>
              <w:divBdr>
                <w:top w:val="none" w:sz="0" w:space="0" w:color="auto"/>
                <w:left w:val="none" w:sz="0" w:space="0" w:color="auto"/>
                <w:bottom w:val="none" w:sz="0" w:space="0" w:color="auto"/>
                <w:right w:val="none" w:sz="0" w:space="0" w:color="auto"/>
              </w:divBdr>
              <w:divsChild>
                <w:div w:id="1282230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270886">
      <w:bodyDiv w:val="1"/>
      <w:marLeft w:val="0"/>
      <w:marRight w:val="0"/>
      <w:marTop w:val="0"/>
      <w:marBottom w:val="0"/>
      <w:divBdr>
        <w:top w:val="none" w:sz="0" w:space="0" w:color="auto"/>
        <w:left w:val="none" w:sz="0" w:space="0" w:color="auto"/>
        <w:bottom w:val="none" w:sz="0" w:space="0" w:color="auto"/>
        <w:right w:val="none" w:sz="0" w:space="0" w:color="auto"/>
      </w:divBdr>
      <w:divsChild>
        <w:div w:id="1176463014">
          <w:marLeft w:val="0"/>
          <w:marRight w:val="0"/>
          <w:marTop w:val="0"/>
          <w:marBottom w:val="0"/>
          <w:divBdr>
            <w:top w:val="none" w:sz="0" w:space="0" w:color="auto"/>
            <w:left w:val="none" w:sz="0" w:space="0" w:color="auto"/>
            <w:bottom w:val="none" w:sz="0" w:space="0" w:color="auto"/>
            <w:right w:val="none" w:sz="0" w:space="0" w:color="auto"/>
          </w:divBdr>
          <w:divsChild>
            <w:div w:id="394403327">
              <w:marLeft w:val="0"/>
              <w:marRight w:val="0"/>
              <w:marTop w:val="0"/>
              <w:marBottom w:val="0"/>
              <w:divBdr>
                <w:top w:val="none" w:sz="0" w:space="0" w:color="auto"/>
                <w:left w:val="none" w:sz="0" w:space="0" w:color="auto"/>
                <w:bottom w:val="none" w:sz="0" w:space="0" w:color="auto"/>
                <w:right w:val="none" w:sz="0" w:space="0" w:color="auto"/>
              </w:divBdr>
              <w:divsChild>
                <w:div w:id="932395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6299716">
      <w:bodyDiv w:val="1"/>
      <w:marLeft w:val="0"/>
      <w:marRight w:val="0"/>
      <w:marTop w:val="0"/>
      <w:marBottom w:val="0"/>
      <w:divBdr>
        <w:top w:val="none" w:sz="0" w:space="0" w:color="auto"/>
        <w:left w:val="none" w:sz="0" w:space="0" w:color="auto"/>
        <w:bottom w:val="none" w:sz="0" w:space="0" w:color="auto"/>
        <w:right w:val="none" w:sz="0" w:space="0" w:color="auto"/>
      </w:divBdr>
      <w:divsChild>
        <w:div w:id="62149302">
          <w:marLeft w:val="0"/>
          <w:marRight w:val="0"/>
          <w:marTop w:val="0"/>
          <w:marBottom w:val="0"/>
          <w:divBdr>
            <w:top w:val="none" w:sz="0" w:space="0" w:color="auto"/>
            <w:left w:val="none" w:sz="0" w:space="0" w:color="auto"/>
            <w:bottom w:val="none" w:sz="0" w:space="0" w:color="auto"/>
            <w:right w:val="none" w:sz="0" w:space="0" w:color="auto"/>
          </w:divBdr>
          <w:divsChild>
            <w:div w:id="594480866">
              <w:marLeft w:val="0"/>
              <w:marRight w:val="0"/>
              <w:marTop w:val="0"/>
              <w:marBottom w:val="0"/>
              <w:divBdr>
                <w:top w:val="none" w:sz="0" w:space="0" w:color="auto"/>
                <w:left w:val="none" w:sz="0" w:space="0" w:color="auto"/>
                <w:bottom w:val="none" w:sz="0" w:space="0" w:color="auto"/>
                <w:right w:val="none" w:sz="0" w:space="0" w:color="auto"/>
              </w:divBdr>
              <w:divsChild>
                <w:div w:id="17893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290672">
      <w:bodyDiv w:val="1"/>
      <w:marLeft w:val="0"/>
      <w:marRight w:val="0"/>
      <w:marTop w:val="0"/>
      <w:marBottom w:val="0"/>
      <w:divBdr>
        <w:top w:val="none" w:sz="0" w:space="0" w:color="auto"/>
        <w:left w:val="none" w:sz="0" w:space="0" w:color="auto"/>
        <w:bottom w:val="none" w:sz="0" w:space="0" w:color="auto"/>
        <w:right w:val="none" w:sz="0" w:space="0" w:color="auto"/>
      </w:divBdr>
    </w:div>
    <w:div w:id="682586058">
      <w:bodyDiv w:val="1"/>
      <w:marLeft w:val="0"/>
      <w:marRight w:val="0"/>
      <w:marTop w:val="0"/>
      <w:marBottom w:val="0"/>
      <w:divBdr>
        <w:top w:val="none" w:sz="0" w:space="0" w:color="auto"/>
        <w:left w:val="none" w:sz="0" w:space="0" w:color="auto"/>
        <w:bottom w:val="none" w:sz="0" w:space="0" w:color="auto"/>
        <w:right w:val="none" w:sz="0" w:space="0" w:color="auto"/>
      </w:divBdr>
      <w:divsChild>
        <w:div w:id="2058121065">
          <w:marLeft w:val="0"/>
          <w:marRight w:val="0"/>
          <w:marTop w:val="0"/>
          <w:marBottom w:val="0"/>
          <w:divBdr>
            <w:top w:val="none" w:sz="0" w:space="0" w:color="auto"/>
            <w:left w:val="none" w:sz="0" w:space="0" w:color="auto"/>
            <w:bottom w:val="none" w:sz="0" w:space="0" w:color="auto"/>
            <w:right w:val="none" w:sz="0" w:space="0" w:color="auto"/>
          </w:divBdr>
          <w:divsChild>
            <w:div w:id="1399479729">
              <w:marLeft w:val="0"/>
              <w:marRight w:val="0"/>
              <w:marTop w:val="0"/>
              <w:marBottom w:val="0"/>
              <w:divBdr>
                <w:top w:val="none" w:sz="0" w:space="0" w:color="auto"/>
                <w:left w:val="none" w:sz="0" w:space="0" w:color="auto"/>
                <w:bottom w:val="none" w:sz="0" w:space="0" w:color="auto"/>
                <w:right w:val="none" w:sz="0" w:space="0" w:color="auto"/>
              </w:divBdr>
              <w:divsChild>
                <w:div w:id="17045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8727659">
      <w:bodyDiv w:val="1"/>
      <w:marLeft w:val="0"/>
      <w:marRight w:val="0"/>
      <w:marTop w:val="0"/>
      <w:marBottom w:val="0"/>
      <w:divBdr>
        <w:top w:val="none" w:sz="0" w:space="0" w:color="auto"/>
        <w:left w:val="none" w:sz="0" w:space="0" w:color="auto"/>
        <w:bottom w:val="none" w:sz="0" w:space="0" w:color="auto"/>
        <w:right w:val="none" w:sz="0" w:space="0" w:color="auto"/>
      </w:divBdr>
      <w:divsChild>
        <w:div w:id="432290221">
          <w:marLeft w:val="0"/>
          <w:marRight w:val="0"/>
          <w:marTop w:val="0"/>
          <w:marBottom w:val="0"/>
          <w:divBdr>
            <w:top w:val="none" w:sz="0" w:space="0" w:color="auto"/>
            <w:left w:val="none" w:sz="0" w:space="0" w:color="auto"/>
            <w:bottom w:val="none" w:sz="0" w:space="0" w:color="auto"/>
            <w:right w:val="none" w:sz="0" w:space="0" w:color="auto"/>
          </w:divBdr>
          <w:divsChild>
            <w:div w:id="60056877">
              <w:marLeft w:val="0"/>
              <w:marRight w:val="0"/>
              <w:marTop w:val="0"/>
              <w:marBottom w:val="0"/>
              <w:divBdr>
                <w:top w:val="none" w:sz="0" w:space="0" w:color="auto"/>
                <w:left w:val="none" w:sz="0" w:space="0" w:color="auto"/>
                <w:bottom w:val="none" w:sz="0" w:space="0" w:color="auto"/>
                <w:right w:val="none" w:sz="0" w:space="0" w:color="auto"/>
              </w:divBdr>
              <w:divsChild>
                <w:div w:id="1229613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3086584">
      <w:bodyDiv w:val="1"/>
      <w:marLeft w:val="0"/>
      <w:marRight w:val="0"/>
      <w:marTop w:val="0"/>
      <w:marBottom w:val="0"/>
      <w:divBdr>
        <w:top w:val="none" w:sz="0" w:space="0" w:color="auto"/>
        <w:left w:val="none" w:sz="0" w:space="0" w:color="auto"/>
        <w:bottom w:val="none" w:sz="0" w:space="0" w:color="auto"/>
        <w:right w:val="none" w:sz="0" w:space="0" w:color="auto"/>
      </w:divBdr>
      <w:divsChild>
        <w:div w:id="41564532">
          <w:marLeft w:val="0"/>
          <w:marRight w:val="0"/>
          <w:marTop w:val="0"/>
          <w:marBottom w:val="0"/>
          <w:divBdr>
            <w:top w:val="none" w:sz="0" w:space="0" w:color="auto"/>
            <w:left w:val="none" w:sz="0" w:space="0" w:color="auto"/>
            <w:bottom w:val="none" w:sz="0" w:space="0" w:color="auto"/>
            <w:right w:val="none" w:sz="0" w:space="0" w:color="auto"/>
          </w:divBdr>
          <w:divsChild>
            <w:div w:id="953369328">
              <w:marLeft w:val="0"/>
              <w:marRight w:val="0"/>
              <w:marTop w:val="0"/>
              <w:marBottom w:val="0"/>
              <w:divBdr>
                <w:top w:val="none" w:sz="0" w:space="0" w:color="auto"/>
                <w:left w:val="none" w:sz="0" w:space="0" w:color="auto"/>
                <w:bottom w:val="none" w:sz="0" w:space="0" w:color="auto"/>
                <w:right w:val="none" w:sz="0" w:space="0" w:color="auto"/>
              </w:divBdr>
              <w:divsChild>
                <w:div w:id="2060274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733618">
      <w:bodyDiv w:val="1"/>
      <w:marLeft w:val="0"/>
      <w:marRight w:val="0"/>
      <w:marTop w:val="0"/>
      <w:marBottom w:val="0"/>
      <w:divBdr>
        <w:top w:val="none" w:sz="0" w:space="0" w:color="auto"/>
        <w:left w:val="none" w:sz="0" w:space="0" w:color="auto"/>
        <w:bottom w:val="none" w:sz="0" w:space="0" w:color="auto"/>
        <w:right w:val="none" w:sz="0" w:space="0" w:color="auto"/>
      </w:divBdr>
    </w:div>
    <w:div w:id="802037132">
      <w:bodyDiv w:val="1"/>
      <w:marLeft w:val="0"/>
      <w:marRight w:val="0"/>
      <w:marTop w:val="0"/>
      <w:marBottom w:val="0"/>
      <w:divBdr>
        <w:top w:val="none" w:sz="0" w:space="0" w:color="auto"/>
        <w:left w:val="none" w:sz="0" w:space="0" w:color="auto"/>
        <w:bottom w:val="none" w:sz="0" w:space="0" w:color="auto"/>
        <w:right w:val="none" w:sz="0" w:space="0" w:color="auto"/>
      </w:divBdr>
      <w:divsChild>
        <w:div w:id="643386525">
          <w:marLeft w:val="0"/>
          <w:marRight w:val="0"/>
          <w:marTop w:val="0"/>
          <w:marBottom w:val="0"/>
          <w:divBdr>
            <w:top w:val="none" w:sz="0" w:space="0" w:color="auto"/>
            <w:left w:val="none" w:sz="0" w:space="0" w:color="auto"/>
            <w:bottom w:val="none" w:sz="0" w:space="0" w:color="auto"/>
            <w:right w:val="none" w:sz="0" w:space="0" w:color="auto"/>
          </w:divBdr>
          <w:divsChild>
            <w:div w:id="340934107">
              <w:marLeft w:val="0"/>
              <w:marRight w:val="0"/>
              <w:marTop w:val="0"/>
              <w:marBottom w:val="0"/>
              <w:divBdr>
                <w:top w:val="none" w:sz="0" w:space="0" w:color="auto"/>
                <w:left w:val="none" w:sz="0" w:space="0" w:color="auto"/>
                <w:bottom w:val="none" w:sz="0" w:space="0" w:color="auto"/>
                <w:right w:val="none" w:sz="0" w:space="0" w:color="auto"/>
              </w:divBdr>
              <w:divsChild>
                <w:div w:id="145359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186066">
      <w:bodyDiv w:val="1"/>
      <w:marLeft w:val="0"/>
      <w:marRight w:val="0"/>
      <w:marTop w:val="0"/>
      <w:marBottom w:val="0"/>
      <w:divBdr>
        <w:top w:val="none" w:sz="0" w:space="0" w:color="auto"/>
        <w:left w:val="none" w:sz="0" w:space="0" w:color="auto"/>
        <w:bottom w:val="none" w:sz="0" w:space="0" w:color="auto"/>
        <w:right w:val="none" w:sz="0" w:space="0" w:color="auto"/>
      </w:divBdr>
      <w:divsChild>
        <w:div w:id="433015134">
          <w:marLeft w:val="0"/>
          <w:marRight w:val="0"/>
          <w:marTop w:val="0"/>
          <w:marBottom w:val="0"/>
          <w:divBdr>
            <w:top w:val="none" w:sz="0" w:space="0" w:color="auto"/>
            <w:left w:val="none" w:sz="0" w:space="0" w:color="auto"/>
            <w:bottom w:val="none" w:sz="0" w:space="0" w:color="auto"/>
            <w:right w:val="none" w:sz="0" w:space="0" w:color="auto"/>
          </w:divBdr>
          <w:divsChild>
            <w:div w:id="504172382">
              <w:marLeft w:val="0"/>
              <w:marRight w:val="0"/>
              <w:marTop w:val="0"/>
              <w:marBottom w:val="0"/>
              <w:divBdr>
                <w:top w:val="none" w:sz="0" w:space="0" w:color="auto"/>
                <w:left w:val="none" w:sz="0" w:space="0" w:color="auto"/>
                <w:bottom w:val="none" w:sz="0" w:space="0" w:color="auto"/>
                <w:right w:val="none" w:sz="0" w:space="0" w:color="auto"/>
              </w:divBdr>
              <w:divsChild>
                <w:div w:id="358701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095621">
      <w:bodyDiv w:val="1"/>
      <w:marLeft w:val="0"/>
      <w:marRight w:val="0"/>
      <w:marTop w:val="0"/>
      <w:marBottom w:val="0"/>
      <w:divBdr>
        <w:top w:val="none" w:sz="0" w:space="0" w:color="auto"/>
        <w:left w:val="none" w:sz="0" w:space="0" w:color="auto"/>
        <w:bottom w:val="none" w:sz="0" w:space="0" w:color="auto"/>
        <w:right w:val="none" w:sz="0" w:space="0" w:color="auto"/>
      </w:divBdr>
    </w:div>
    <w:div w:id="840899665">
      <w:bodyDiv w:val="1"/>
      <w:marLeft w:val="0"/>
      <w:marRight w:val="0"/>
      <w:marTop w:val="0"/>
      <w:marBottom w:val="0"/>
      <w:divBdr>
        <w:top w:val="none" w:sz="0" w:space="0" w:color="auto"/>
        <w:left w:val="none" w:sz="0" w:space="0" w:color="auto"/>
        <w:bottom w:val="none" w:sz="0" w:space="0" w:color="auto"/>
        <w:right w:val="none" w:sz="0" w:space="0" w:color="auto"/>
      </w:divBdr>
      <w:divsChild>
        <w:div w:id="555706256">
          <w:marLeft w:val="0"/>
          <w:marRight w:val="0"/>
          <w:marTop w:val="0"/>
          <w:marBottom w:val="0"/>
          <w:divBdr>
            <w:top w:val="none" w:sz="0" w:space="0" w:color="auto"/>
            <w:left w:val="none" w:sz="0" w:space="0" w:color="auto"/>
            <w:bottom w:val="none" w:sz="0" w:space="0" w:color="auto"/>
            <w:right w:val="none" w:sz="0" w:space="0" w:color="auto"/>
          </w:divBdr>
          <w:divsChild>
            <w:div w:id="1785997596">
              <w:marLeft w:val="0"/>
              <w:marRight w:val="0"/>
              <w:marTop w:val="0"/>
              <w:marBottom w:val="0"/>
              <w:divBdr>
                <w:top w:val="none" w:sz="0" w:space="0" w:color="auto"/>
                <w:left w:val="none" w:sz="0" w:space="0" w:color="auto"/>
                <w:bottom w:val="none" w:sz="0" w:space="0" w:color="auto"/>
                <w:right w:val="none" w:sz="0" w:space="0" w:color="auto"/>
              </w:divBdr>
              <w:divsChild>
                <w:div w:id="306471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5559311">
      <w:bodyDiv w:val="1"/>
      <w:marLeft w:val="0"/>
      <w:marRight w:val="0"/>
      <w:marTop w:val="0"/>
      <w:marBottom w:val="0"/>
      <w:divBdr>
        <w:top w:val="none" w:sz="0" w:space="0" w:color="auto"/>
        <w:left w:val="none" w:sz="0" w:space="0" w:color="auto"/>
        <w:bottom w:val="none" w:sz="0" w:space="0" w:color="auto"/>
        <w:right w:val="none" w:sz="0" w:space="0" w:color="auto"/>
      </w:divBdr>
      <w:divsChild>
        <w:div w:id="1018778137">
          <w:marLeft w:val="0"/>
          <w:marRight w:val="0"/>
          <w:marTop w:val="0"/>
          <w:marBottom w:val="0"/>
          <w:divBdr>
            <w:top w:val="none" w:sz="0" w:space="0" w:color="auto"/>
            <w:left w:val="none" w:sz="0" w:space="0" w:color="auto"/>
            <w:bottom w:val="none" w:sz="0" w:space="0" w:color="auto"/>
            <w:right w:val="none" w:sz="0" w:space="0" w:color="auto"/>
          </w:divBdr>
          <w:divsChild>
            <w:div w:id="631177538">
              <w:marLeft w:val="0"/>
              <w:marRight w:val="0"/>
              <w:marTop w:val="0"/>
              <w:marBottom w:val="0"/>
              <w:divBdr>
                <w:top w:val="none" w:sz="0" w:space="0" w:color="auto"/>
                <w:left w:val="none" w:sz="0" w:space="0" w:color="auto"/>
                <w:bottom w:val="none" w:sz="0" w:space="0" w:color="auto"/>
                <w:right w:val="none" w:sz="0" w:space="0" w:color="auto"/>
              </w:divBdr>
              <w:divsChild>
                <w:div w:id="3226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3905527">
      <w:bodyDiv w:val="1"/>
      <w:marLeft w:val="0"/>
      <w:marRight w:val="0"/>
      <w:marTop w:val="0"/>
      <w:marBottom w:val="0"/>
      <w:divBdr>
        <w:top w:val="none" w:sz="0" w:space="0" w:color="auto"/>
        <w:left w:val="none" w:sz="0" w:space="0" w:color="auto"/>
        <w:bottom w:val="none" w:sz="0" w:space="0" w:color="auto"/>
        <w:right w:val="none" w:sz="0" w:space="0" w:color="auto"/>
      </w:divBdr>
      <w:divsChild>
        <w:div w:id="366953902">
          <w:marLeft w:val="0"/>
          <w:marRight w:val="0"/>
          <w:marTop w:val="0"/>
          <w:marBottom w:val="0"/>
          <w:divBdr>
            <w:top w:val="none" w:sz="0" w:space="0" w:color="auto"/>
            <w:left w:val="none" w:sz="0" w:space="0" w:color="auto"/>
            <w:bottom w:val="none" w:sz="0" w:space="0" w:color="auto"/>
            <w:right w:val="none" w:sz="0" w:space="0" w:color="auto"/>
          </w:divBdr>
          <w:divsChild>
            <w:div w:id="1039404387">
              <w:marLeft w:val="0"/>
              <w:marRight w:val="0"/>
              <w:marTop w:val="0"/>
              <w:marBottom w:val="0"/>
              <w:divBdr>
                <w:top w:val="none" w:sz="0" w:space="0" w:color="auto"/>
                <w:left w:val="none" w:sz="0" w:space="0" w:color="auto"/>
                <w:bottom w:val="none" w:sz="0" w:space="0" w:color="auto"/>
                <w:right w:val="none" w:sz="0" w:space="0" w:color="auto"/>
              </w:divBdr>
              <w:divsChild>
                <w:div w:id="518809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144000">
      <w:bodyDiv w:val="1"/>
      <w:marLeft w:val="0"/>
      <w:marRight w:val="0"/>
      <w:marTop w:val="0"/>
      <w:marBottom w:val="0"/>
      <w:divBdr>
        <w:top w:val="none" w:sz="0" w:space="0" w:color="auto"/>
        <w:left w:val="none" w:sz="0" w:space="0" w:color="auto"/>
        <w:bottom w:val="none" w:sz="0" w:space="0" w:color="auto"/>
        <w:right w:val="none" w:sz="0" w:space="0" w:color="auto"/>
      </w:divBdr>
      <w:divsChild>
        <w:div w:id="714475845">
          <w:marLeft w:val="0"/>
          <w:marRight w:val="0"/>
          <w:marTop w:val="0"/>
          <w:marBottom w:val="0"/>
          <w:divBdr>
            <w:top w:val="none" w:sz="0" w:space="0" w:color="auto"/>
            <w:left w:val="none" w:sz="0" w:space="0" w:color="auto"/>
            <w:bottom w:val="none" w:sz="0" w:space="0" w:color="auto"/>
            <w:right w:val="none" w:sz="0" w:space="0" w:color="auto"/>
          </w:divBdr>
          <w:divsChild>
            <w:div w:id="830561644">
              <w:marLeft w:val="0"/>
              <w:marRight w:val="0"/>
              <w:marTop w:val="0"/>
              <w:marBottom w:val="0"/>
              <w:divBdr>
                <w:top w:val="none" w:sz="0" w:space="0" w:color="auto"/>
                <w:left w:val="none" w:sz="0" w:space="0" w:color="auto"/>
                <w:bottom w:val="none" w:sz="0" w:space="0" w:color="auto"/>
                <w:right w:val="none" w:sz="0" w:space="0" w:color="auto"/>
              </w:divBdr>
              <w:divsChild>
                <w:div w:id="176291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509843">
      <w:bodyDiv w:val="1"/>
      <w:marLeft w:val="0"/>
      <w:marRight w:val="0"/>
      <w:marTop w:val="0"/>
      <w:marBottom w:val="0"/>
      <w:divBdr>
        <w:top w:val="none" w:sz="0" w:space="0" w:color="auto"/>
        <w:left w:val="none" w:sz="0" w:space="0" w:color="auto"/>
        <w:bottom w:val="none" w:sz="0" w:space="0" w:color="auto"/>
        <w:right w:val="none" w:sz="0" w:space="0" w:color="auto"/>
      </w:divBdr>
    </w:div>
    <w:div w:id="999695803">
      <w:bodyDiv w:val="1"/>
      <w:marLeft w:val="0"/>
      <w:marRight w:val="0"/>
      <w:marTop w:val="0"/>
      <w:marBottom w:val="0"/>
      <w:divBdr>
        <w:top w:val="none" w:sz="0" w:space="0" w:color="auto"/>
        <w:left w:val="none" w:sz="0" w:space="0" w:color="auto"/>
        <w:bottom w:val="none" w:sz="0" w:space="0" w:color="auto"/>
        <w:right w:val="none" w:sz="0" w:space="0" w:color="auto"/>
      </w:divBdr>
      <w:divsChild>
        <w:div w:id="720178318">
          <w:marLeft w:val="0"/>
          <w:marRight w:val="0"/>
          <w:marTop w:val="0"/>
          <w:marBottom w:val="0"/>
          <w:divBdr>
            <w:top w:val="none" w:sz="0" w:space="0" w:color="auto"/>
            <w:left w:val="none" w:sz="0" w:space="0" w:color="auto"/>
            <w:bottom w:val="none" w:sz="0" w:space="0" w:color="auto"/>
            <w:right w:val="none" w:sz="0" w:space="0" w:color="auto"/>
          </w:divBdr>
          <w:divsChild>
            <w:div w:id="1631201851">
              <w:marLeft w:val="0"/>
              <w:marRight w:val="0"/>
              <w:marTop w:val="0"/>
              <w:marBottom w:val="0"/>
              <w:divBdr>
                <w:top w:val="none" w:sz="0" w:space="0" w:color="auto"/>
                <w:left w:val="none" w:sz="0" w:space="0" w:color="auto"/>
                <w:bottom w:val="none" w:sz="0" w:space="0" w:color="auto"/>
                <w:right w:val="none" w:sz="0" w:space="0" w:color="auto"/>
              </w:divBdr>
              <w:divsChild>
                <w:div w:id="60038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344602">
      <w:bodyDiv w:val="1"/>
      <w:marLeft w:val="0"/>
      <w:marRight w:val="0"/>
      <w:marTop w:val="0"/>
      <w:marBottom w:val="0"/>
      <w:divBdr>
        <w:top w:val="none" w:sz="0" w:space="0" w:color="auto"/>
        <w:left w:val="none" w:sz="0" w:space="0" w:color="auto"/>
        <w:bottom w:val="none" w:sz="0" w:space="0" w:color="auto"/>
        <w:right w:val="none" w:sz="0" w:space="0" w:color="auto"/>
      </w:divBdr>
    </w:div>
    <w:div w:id="1050500271">
      <w:bodyDiv w:val="1"/>
      <w:marLeft w:val="0"/>
      <w:marRight w:val="0"/>
      <w:marTop w:val="0"/>
      <w:marBottom w:val="0"/>
      <w:divBdr>
        <w:top w:val="none" w:sz="0" w:space="0" w:color="auto"/>
        <w:left w:val="none" w:sz="0" w:space="0" w:color="auto"/>
        <w:bottom w:val="none" w:sz="0" w:space="0" w:color="auto"/>
        <w:right w:val="none" w:sz="0" w:space="0" w:color="auto"/>
      </w:divBdr>
    </w:div>
    <w:div w:id="1076242436">
      <w:bodyDiv w:val="1"/>
      <w:marLeft w:val="0"/>
      <w:marRight w:val="0"/>
      <w:marTop w:val="0"/>
      <w:marBottom w:val="0"/>
      <w:divBdr>
        <w:top w:val="none" w:sz="0" w:space="0" w:color="auto"/>
        <w:left w:val="none" w:sz="0" w:space="0" w:color="auto"/>
        <w:bottom w:val="none" w:sz="0" w:space="0" w:color="auto"/>
        <w:right w:val="none" w:sz="0" w:space="0" w:color="auto"/>
      </w:divBdr>
      <w:divsChild>
        <w:div w:id="11731416">
          <w:marLeft w:val="0"/>
          <w:marRight w:val="0"/>
          <w:marTop w:val="0"/>
          <w:marBottom w:val="0"/>
          <w:divBdr>
            <w:top w:val="none" w:sz="0" w:space="0" w:color="auto"/>
            <w:left w:val="none" w:sz="0" w:space="0" w:color="auto"/>
            <w:bottom w:val="none" w:sz="0" w:space="0" w:color="auto"/>
            <w:right w:val="none" w:sz="0" w:space="0" w:color="auto"/>
          </w:divBdr>
          <w:divsChild>
            <w:div w:id="265886875">
              <w:marLeft w:val="0"/>
              <w:marRight w:val="0"/>
              <w:marTop w:val="0"/>
              <w:marBottom w:val="0"/>
              <w:divBdr>
                <w:top w:val="none" w:sz="0" w:space="0" w:color="auto"/>
                <w:left w:val="none" w:sz="0" w:space="0" w:color="auto"/>
                <w:bottom w:val="none" w:sz="0" w:space="0" w:color="auto"/>
                <w:right w:val="none" w:sz="0" w:space="0" w:color="auto"/>
              </w:divBdr>
              <w:divsChild>
                <w:div w:id="12917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409276">
      <w:bodyDiv w:val="1"/>
      <w:marLeft w:val="0"/>
      <w:marRight w:val="0"/>
      <w:marTop w:val="0"/>
      <w:marBottom w:val="0"/>
      <w:divBdr>
        <w:top w:val="none" w:sz="0" w:space="0" w:color="auto"/>
        <w:left w:val="none" w:sz="0" w:space="0" w:color="auto"/>
        <w:bottom w:val="none" w:sz="0" w:space="0" w:color="auto"/>
        <w:right w:val="none" w:sz="0" w:space="0" w:color="auto"/>
      </w:divBdr>
      <w:divsChild>
        <w:div w:id="461509218">
          <w:marLeft w:val="0"/>
          <w:marRight w:val="0"/>
          <w:marTop w:val="0"/>
          <w:marBottom w:val="0"/>
          <w:divBdr>
            <w:top w:val="none" w:sz="0" w:space="0" w:color="auto"/>
            <w:left w:val="none" w:sz="0" w:space="0" w:color="auto"/>
            <w:bottom w:val="none" w:sz="0" w:space="0" w:color="auto"/>
            <w:right w:val="none" w:sz="0" w:space="0" w:color="auto"/>
          </w:divBdr>
          <w:divsChild>
            <w:div w:id="555943393">
              <w:marLeft w:val="0"/>
              <w:marRight w:val="0"/>
              <w:marTop w:val="0"/>
              <w:marBottom w:val="0"/>
              <w:divBdr>
                <w:top w:val="none" w:sz="0" w:space="0" w:color="auto"/>
                <w:left w:val="none" w:sz="0" w:space="0" w:color="auto"/>
                <w:bottom w:val="none" w:sz="0" w:space="0" w:color="auto"/>
                <w:right w:val="none" w:sz="0" w:space="0" w:color="auto"/>
              </w:divBdr>
              <w:divsChild>
                <w:div w:id="55967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8206414">
      <w:bodyDiv w:val="1"/>
      <w:marLeft w:val="0"/>
      <w:marRight w:val="0"/>
      <w:marTop w:val="0"/>
      <w:marBottom w:val="0"/>
      <w:divBdr>
        <w:top w:val="none" w:sz="0" w:space="0" w:color="auto"/>
        <w:left w:val="none" w:sz="0" w:space="0" w:color="auto"/>
        <w:bottom w:val="none" w:sz="0" w:space="0" w:color="auto"/>
        <w:right w:val="none" w:sz="0" w:space="0" w:color="auto"/>
      </w:divBdr>
      <w:divsChild>
        <w:div w:id="1941185597">
          <w:marLeft w:val="0"/>
          <w:marRight w:val="0"/>
          <w:marTop w:val="0"/>
          <w:marBottom w:val="0"/>
          <w:divBdr>
            <w:top w:val="none" w:sz="0" w:space="0" w:color="auto"/>
            <w:left w:val="none" w:sz="0" w:space="0" w:color="auto"/>
            <w:bottom w:val="none" w:sz="0" w:space="0" w:color="auto"/>
            <w:right w:val="none" w:sz="0" w:space="0" w:color="auto"/>
          </w:divBdr>
          <w:divsChild>
            <w:div w:id="644890434">
              <w:marLeft w:val="0"/>
              <w:marRight w:val="0"/>
              <w:marTop w:val="0"/>
              <w:marBottom w:val="0"/>
              <w:divBdr>
                <w:top w:val="none" w:sz="0" w:space="0" w:color="auto"/>
                <w:left w:val="none" w:sz="0" w:space="0" w:color="auto"/>
                <w:bottom w:val="none" w:sz="0" w:space="0" w:color="auto"/>
                <w:right w:val="none" w:sz="0" w:space="0" w:color="auto"/>
              </w:divBdr>
              <w:divsChild>
                <w:div w:id="1756323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1240834">
      <w:bodyDiv w:val="1"/>
      <w:marLeft w:val="0"/>
      <w:marRight w:val="0"/>
      <w:marTop w:val="0"/>
      <w:marBottom w:val="0"/>
      <w:divBdr>
        <w:top w:val="none" w:sz="0" w:space="0" w:color="auto"/>
        <w:left w:val="none" w:sz="0" w:space="0" w:color="auto"/>
        <w:bottom w:val="none" w:sz="0" w:space="0" w:color="auto"/>
        <w:right w:val="none" w:sz="0" w:space="0" w:color="auto"/>
      </w:divBdr>
      <w:divsChild>
        <w:div w:id="1730641427">
          <w:marLeft w:val="0"/>
          <w:marRight w:val="0"/>
          <w:marTop w:val="0"/>
          <w:marBottom w:val="0"/>
          <w:divBdr>
            <w:top w:val="none" w:sz="0" w:space="0" w:color="auto"/>
            <w:left w:val="none" w:sz="0" w:space="0" w:color="auto"/>
            <w:bottom w:val="none" w:sz="0" w:space="0" w:color="auto"/>
            <w:right w:val="none" w:sz="0" w:space="0" w:color="auto"/>
          </w:divBdr>
          <w:divsChild>
            <w:div w:id="318071841">
              <w:marLeft w:val="0"/>
              <w:marRight w:val="0"/>
              <w:marTop w:val="0"/>
              <w:marBottom w:val="0"/>
              <w:divBdr>
                <w:top w:val="none" w:sz="0" w:space="0" w:color="auto"/>
                <w:left w:val="none" w:sz="0" w:space="0" w:color="auto"/>
                <w:bottom w:val="none" w:sz="0" w:space="0" w:color="auto"/>
                <w:right w:val="none" w:sz="0" w:space="0" w:color="auto"/>
              </w:divBdr>
              <w:divsChild>
                <w:div w:id="1563758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327956">
      <w:bodyDiv w:val="1"/>
      <w:marLeft w:val="0"/>
      <w:marRight w:val="0"/>
      <w:marTop w:val="0"/>
      <w:marBottom w:val="0"/>
      <w:divBdr>
        <w:top w:val="none" w:sz="0" w:space="0" w:color="auto"/>
        <w:left w:val="none" w:sz="0" w:space="0" w:color="auto"/>
        <w:bottom w:val="none" w:sz="0" w:space="0" w:color="auto"/>
        <w:right w:val="none" w:sz="0" w:space="0" w:color="auto"/>
      </w:divBdr>
      <w:divsChild>
        <w:div w:id="227034032">
          <w:marLeft w:val="0"/>
          <w:marRight w:val="0"/>
          <w:marTop w:val="0"/>
          <w:marBottom w:val="0"/>
          <w:divBdr>
            <w:top w:val="none" w:sz="0" w:space="0" w:color="auto"/>
            <w:left w:val="none" w:sz="0" w:space="0" w:color="auto"/>
            <w:bottom w:val="none" w:sz="0" w:space="0" w:color="auto"/>
            <w:right w:val="none" w:sz="0" w:space="0" w:color="auto"/>
          </w:divBdr>
          <w:divsChild>
            <w:div w:id="1953004670">
              <w:marLeft w:val="0"/>
              <w:marRight w:val="0"/>
              <w:marTop w:val="0"/>
              <w:marBottom w:val="0"/>
              <w:divBdr>
                <w:top w:val="none" w:sz="0" w:space="0" w:color="auto"/>
                <w:left w:val="none" w:sz="0" w:space="0" w:color="auto"/>
                <w:bottom w:val="none" w:sz="0" w:space="0" w:color="auto"/>
                <w:right w:val="none" w:sz="0" w:space="0" w:color="auto"/>
              </w:divBdr>
              <w:divsChild>
                <w:div w:id="162519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1459608">
      <w:bodyDiv w:val="1"/>
      <w:marLeft w:val="0"/>
      <w:marRight w:val="0"/>
      <w:marTop w:val="0"/>
      <w:marBottom w:val="0"/>
      <w:divBdr>
        <w:top w:val="none" w:sz="0" w:space="0" w:color="auto"/>
        <w:left w:val="none" w:sz="0" w:space="0" w:color="auto"/>
        <w:bottom w:val="none" w:sz="0" w:space="0" w:color="auto"/>
        <w:right w:val="none" w:sz="0" w:space="0" w:color="auto"/>
      </w:divBdr>
      <w:divsChild>
        <w:div w:id="867570287">
          <w:marLeft w:val="0"/>
          <w:marRight w:val="0"/>
          <w:marTop w:val="0"/>
          <w:marBottom w:val="0"/>
          <w:divBdr>
            <w:top w:val="none" w:sz="0" w:space="0" w:color="auto"/>
            <w:left w:val="none" w:sz="0" w:space="0" w:color="auto"/>
            <w:bottom w:val="none" w:sz="0" w:space="0" w:color="auto"/>
            <w:right w:val="none" w:sz="0" w:space="0" w:color="auto"/>
          </w:divBdr>
          <w:divsChild>
            <w:div w:id="286593176">
              <w:marLeft w:val="0"/>
              <w:marRight w:val="0"/>
              <w:marTop w:val="0"/>
              <w:marBottom w:val="0"/>
              <w:divBdr>
                <w:top w:val="none" w:sz="0" w:space="0" w:color="auto"/>
                <w:left w:val="none" w:sz="0" w:space="0" w:color="auto"/>
                <w:bottom w:val="none" w:sz="0" w:space="0" w:color="auto"/>
                <w:right w:val="none" w:sz="0" w:space="0" w:color="auto"/>
              </w:divBdr>
              <w:divsChild>
                <w:div w:id="4622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553214">
      <w:bodyDiv w:val="1"/>
      <w:marLeft w:val="0"/>
      <w:marRight w:val="0"/>
      <w:marTop w:val="0"/>
      <w:marBottom w:val="0"/>
      <w:divBdr>
        <w:top w:val="none" w:sz="0" w:space="0" w:color="auto"/>
        <w:left w:val="none" w:sz="0" w:space="0" w:color="auto"/>
        <w:bottom w:val="none" w:sz="0" w:space="0" w:color="auto"/>
        <w:right w:val="none" w:sz="0" w:space="0" w:color="auto"/>
      </w:divBdr>
      <w:divsChild>
        <w:div w:id="1998991745">
          <w:marLeft w:val="0"/>
          <w:marRight w:val="0"/>
          <w:marTop w:val="0"/>
          <w:marBottom w:val="0"/>
          <w:divBdr>
            <w:top w:val="none" w:sz="0" w:space="0" w:color="auto"/>
            <w:left w:val="none" w:sz="0" w:space="0" w:color="auto"/>
            <w:bottom w:val="none" w:sz="0" w:space="0" w:color="auto"/>
            <w:right w:val="none" w:sz="0" w:space="0" w:color="auto"/>
          </w:divBdr>
          <w:divsChild>
            <w:div w:id="554508106">
              <w:marLeft w:val="0"/>
              <w:marRight w:val="0"/>
              <w:marTop w:val="0"/>
              <w:marBottom w:val="0"/>
              <w:divBdr>
                <w:top w:val="none" w:sz="0" w:space="0" w:color="auto"/>
                <w:left w:val="none" w:sz="0" w:space="0" w:color="auto"/>
                <w:bottom w:val="none" w:sz="0" w:space="0" w:color="auto"/>
                <w:right w:val="none" w:sz="0" w:space="0" w:color="auto"/>
              </w:divBdr>
              <w:divsChild>
                <w:div w:id="2095741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1186564">
      <w:bodyDiv w:val="1"/>
      <w:marLeft w:val="0"/>
      <w:marRight w:val="0"/>
      <w:marTop w:val="0"/>
      <w:marBottom w:val="0"/>
      <w:divBdr>
        <w:top w:val="none" w:sz="0" w:space="0" w:color="auto"/>
        <w:left w:val="none" w:sz="0" w:space="0" w:color="auto"/>
        <w:bottom w:val="none" w:sz="0" w:space="0" w:color="auto"/>
        <w:right w:val="none" w:sz="0" w:space="0" w:color="auto"/>
      </w:divBdr>
      <w:divsChild>
        <w:div w:id="1557857003">
          <w:marLeft w:val="0"/>
          <w:marRight w:val="0"/>
          <w:marTop w:val="0"/>
          <w:marBottom w:val="0"/>
          <w:divBdr>
            <w:top w:val="none" w:sz="0" w:space="0" w:color="auto"/>
            <w:left w:val="none" w:sz="0" w:space="0" w:color="auto"/>
            <w:bottom w:val="none" w:sz="0" w:space="0" w:color="auto"/>
            <w:right w:val="none" w:sz="0" w:space="0" w:color="auto"/>
          </w:divBdr>
          <w:divsChild>
            <w:div w:id="235556852">
              <w:marLeft w:val="0"/>
              <w:marRight w:val="0"/>
              <w:marTop w:val="0"/>
              <w:marBottom w:val="0"/>
              <w:divBdr>
                <w:top w:val="none" w:sz="0" w:space="0" w:color="auto"/>
                <w:left w:val="none" w:sz="0" w:space="0" w:color="auto"/>
                <w:bottom w:val="none" w:sz="0" w:space="0" w:color="auto"/>
                <w:right w:val="none" w:sz="0" w:space="0" w:color="auto"/>
              </w:divBdr>
              <w:divsChild>
                <w:div w:id="149194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881357">
          <w:marLeft w:val="0"/>
          <w:marRight w:val="0"/>
          <w:marTop w:val="0"/>
          <w:marBottom w:val="0"/>
          <w:divBdr>
            <w:top w:val="none" w:sz="0" w:space="0" w:color="auto"/>
            <w:left w:val="none" w:sz="0" w:space="0" w:color="auto"/>
            <w:bottom w:val="none" w:sz="0" w:space="0" w:color="auto"/>
            <w:right w:val="none" w:sz="0" w:space="0" w:color="auto"/>
          </w:divBdr>
          <w:divsChild>
            <w:div w:id="512764674">
              <w:marLeft w:val="0"/>
              <w:marRight w:val="0"/>
              <w:marTop w:val="0"/>
              <w:marBottom w:val="0"/>
              <w:divBdr>
                <w:top w:val="none" w:sz="0" w:space="0" w:color="auto"/>
                <w:left w:val="none" w:sz="0" w:space="0" w:color="auto"/>
                <w:bottom w:val="none" w:sz="0" w:space="0" w:color="auto"/>
                <w:right w:val="none" w:sz="0" w:space="0" w:color="auto"/>
              </w:divBdr>
              <w:divsChild>
                <w:div w:id="206760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692866">
      <w:bodyDiv w:val="1"/>
      <w:marLeft w:val="0"/>
      <w:marRight w:val="0"/>
      <w:marTop w:val="0"/>
      <w:marBottom w:val="0"/>
      <w:divBdr>
        <w:top w:val="none" w:sz="0" w:space="0" w:color="auto"/>
        <w:left w:val="none" w:sz="0" w:space="0" w:color="auto"/>
        <w:bottom w:val="none" w:sz="0" w:space="0" w:color="auto"/>
        <w:right w:val="none" w:sz="0" w:space="0" w:color="auto"/>
      </w:divBdr>
      <w:divsChild>
        <w:div w:id="1005354348">
          <w:marLeft w:val="0"/>
          <w:marRight w:val="0"/>
          <w:marTop w:val="0"/>
          <w:marBottom w:val="0"/>
          <w:divBdr>
            <w:top w:val="none" w:sz="0" w:space="0" w:color="auto"/>
            <w:left w:val="none" w:sz="0" w:space="0" w:color="auto"/>
            <w:bottom w:val="none" w:sz="0" w:space="0" w:color="auto"/>
            <w:right w:val="none" w:sz="0" w:space="0" w:color="auto"/>
          </w:divBdr>
          <w:divsChild>
            <w:div w:id="1656764882">
              <w:marLeft w:val="0"/>
              <w:marRight w:val="0"/>
              <w:marTop w:val="0"/>
              <w:marBottom w:val="0"/>
              <w:divBdr>
                <w:top w:val="none" w:sz="0" w:space="0" w:color="auto"/>
                <w:left w:val="none" w:sz="0" w:space="0" w:color="auto"/>
                <w:bottom w:val="none" w:sz="0" w:space="0" w:color="auto"/>
                <w:right w:val="none" w:sz="0" w:space="0" w:color="auto"/>
              </w:divBdr>
              <w:divsChild>
                <w:div w:id="40718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543836">
      <w:bodyDiv w:val="1"/>
      <w:marLeft w:val="0"/>
      <w:marRight w:val="0"/>
      <w:marTop w:val="0"/>
      <w:marBottom w:val="0"/>
      <w:divBdr>
        <w:top w:val="none" w:sz="0" w:space="0" w:color="auto"/>
        <w:left w:val="none" w:sz="0" w:space="0" w:color="auto"/>
        <w:bottom w:val="none" w:sz="0" w:space="0" w:color="auto"/>
        <w:right w:val="none" w:sz="0" w:space="0" w:color="auto"/>
      </w:divBdr>
      <w:divsChild>
        <w:div w:id="794180083">
          <w:marLeft w:val="0"/>
          <w:marRight w:val="0"/>
          <w:marTop w:val="0"/>
          <w:marBottom w:val="0"/>
          <w:divBdr>
            <w:top w:val="none" w:sz="0" w:space="0" w:color="auto"/>
            <w:left w:val="none" w:sz="0" w:space="0" w:color="auto"/>
            <w:bottom w:val="none" w:sz="0" w:space="0" w:color="auto"/>
            <w:right w:val="none" w:sz="0" w:space="0" w:color="auto"/>
          </w:divBdr>
          <w:divsChild>
            <w:div w:id="1319192382">
              <w:marLeft w:val="0"/>
              <w:marRight w:val="0"/>
              <w:marTop w:val="0"/>
              <w:marBottom w:val="0"/>
              <w:divBdr>
                <w:top w:val="none" w:sz="0" w:space="0" w:color="auto"/>
                <w:left w:val="none" w:sz="0" w:space="0" w:color="auto"/>
                <w:bottom w:val="none" w:sz="0" w:space="0" w:color="auto"/>
                <w:right w:val="none" w:sz="0" w:space="0" w:color="auto"/>
              </w:divBdr>
              <w:divsChild>
                <w:div w:id="53815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185025">
      <w:bodyDiv w:val="1"/>
      <w:marLeft w:val="0"/>
      <w:marRight w:val="0"/>
      <w:marTop w:val="0"/>
      <w:marBottom w:val="0"/>
      <w:divBdr>
        <w:top w:val="none" w:sz="0" w:space="0" w:color="auto"/>
        <w:left w:val="none" w:sz="0" w:space="0" w:color="auto"/>
        <w:bottom w:val="none" w:sz="0" w:space="0" w:color="auto"/>
        <w:right w:val="none" w:sz="0" w:space="0" w:color="auto"/>
      </w:divBdr>
      <w:divsChild>
        <w:div w:id="887183832">
          <w:marLeft w:val="0"/>
          <w:marRight w:val="0"/>
          <w:marTop w:val="0"/>
          <w:marBottom w:val="0"/>
          <w:divBdr>
            <w:top w:val="none" w:sz="0" w:space="0" w:color="auto"/>
            <w:left w:val="none" w:sz="0" w:space="0" w:color="auto"/>
            <w:bottom w:val="none" w:sz="0" w:space="0" w:color="auto"/>
            <w:right w:val="none" w:sz="0" w:space="0" w:color="auto"/>
          </w:divBdr>
          <w:divsChild>
            <w:div w:id="367754066">
              <w:marLeft w:val="0"/>
              <w:marRight w:val="0"/>
              <w:marTop w:val="0"/>
              <w:marBottom w:val="0"/>
              <w:divBdr>
                <w:top w:val="none" w:sz="0" w:space="0" w:color="auto"/>
                <w:left w:val="none" w:sz="0" w:space="0" w:color="auto"/>
                <w:bottom w:val="none" w:sz="0" w:space="0" w:color="auto"/>
                <w:right w:val="none" w:sz="0" w:space="0" w:color="auto"/>
              </w:divBdr>
              <w:divsChild>
                <w:div w:id="726345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9412270">
      <w:bodyDiv w:val="1"/>
      <w:marLeft w:val="0"/>
      <w:marRight w:val="0"/>
      <w:marTop w:val="0"/>
      <w:marBottom w:val="0"/>
      <w:divBdr>
        <w:top w:val="none" w:sz="0" w:space="0" w:color="auto"/>
        <w:left w:val="none" w:sz="0" w:space="0" w:color="auto"/>
        <w:bottom w:val="none" w:sz="0" w:space="0" w:color="auto"/>
        <w:right w:val="none" w:sz="0" w:space="0" w:color="auto"/>
      </w:divBdr>
      <w:divsChild>
        <w:div w:id="1833376555">
          <w:marLeft w:val="0"/>
          <w:marRight w:val="0"/>
          <w:marTop w:val="0"/>
          <w:marBottom w:val="0"/>
          <w:divBdr>
            <w:top w:val="none" w:sz="0" w:space="0" w:color="auto"/>
            <w:left w:val="none" w:sz="0" w:space="0" w:color="auto"/>
            <w:bottom w:val="none" w:sz="0" w:space="0" w:color="auto"/>
            <w:right w:val="none" w:sz="0" w:space="0" w:color="auto"/>
          </w:divBdr>
          <w:divsChild>
            <w:div w:id="520238300">
              <w:marLeft w:val="0"/>
              <w:marRight w:val="0"/>
              <w:marTop w:val="0"/>
              <w:marBottom w:val="0"/>
              <w:divBdr>
                <w:top w:val="none" w:sz="0" w:space="0" w:color="auto"/>
                <w:left w:val="none" w:sz="0" w:space="0" w:color="auto"/>
                <w:bottom w:val="none" w:sz="0" w:space="0" w:color="auto"/>
                <w:right w:val="none" w:sz="0" w:space="0" w:color="auto"/>
              </w:divBdr>
              <w:divsChild>
                <w:div w:id="1873376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9451440">
      <w:bodyDiv w:val="1"/>
      <w:marLeft w:val="0"/>
      <w:marRight w:val="0"/>
      <w:marTop w:val="0"/>
      <w:marBottom w:val="0"/>
      <w:divBdr>
        <w:top w:val="none" w:sz="0" w:space="0" w:color="auto"/>
        <w:left w:val="none" w:sz="0" w:space="0" w:color="auto"/>
        <w:bottom w:val="none" w:sz="0" w:space="0" w:color="auto"/>
        <w:right w:val="none" w:sz="0" w:space="0" w:color="auto"/>
      </w:divBdr>
      <w:divsChild>
        <w:div w:id="1473980371">
          <w:marLeft w:val="0"/>
          <w:marRight w:val="0"/>
          <w:marTop w:val="0"/>
          <w:marBottom w:val="0"/>
          <w:divBdr>
            <w:top w:val="none" w:sz="0" w:space="0" w:color="auto"/>
            <w:left w:val="none" w:sz="0" w:space="0" w:color="auto"/>
            <w:bottom w:val="none" w:sz="0" w:space="0" w:color="auto"/>
            <w:right w:val="none" w:sz="0" w:space="0" w:color="auto"/>
          </w:divBdr>
          <w:divsChild>
            <w:div w:id="1299803903">
              <w:marLeft w:val="0"/>
              <w:marRight w:val="0"/>
              <w:marTop w:val="0"/>
              <w:marBottom w:val="0"/>
              <w:divBdr>
                <w:top w:val="none" w:sz="0" w:space="0" w:color="auto"/>
                <w:left w:val="none" w:sz="0" w:space="0" w:color="auto"/>
                <w:bottom w:val="none" w:sz="0" w:space="0" w:color="auto"/>
                <w:right w:val="none" w:sz="0" w:space="0" w:color="auto"/>
              </w:divBdr>
              <w:divsChild>
                <w:div w:id="1648707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442139">
      <w:bodyDiv w:val="1"/>
      <w:marLeft w:val="0"/>
      <w:marRight w:val="0"/>
      <w:marTop w:val="0"/>
      <w:marBottom w:val="0"/>
      <w:divBdr>
        <w:top w:val="none" w:sz="0" w:space="0" w:color="auto"/>
        <w:left w:val="none" w:sz="0" w:space="0" w:color="auto"/>
        <w:bottom w:val="none" w:sz="0" w:space="0" w:color="auto"/>
        <w:right w:val="none" w:sz="0" w:space="0" w:color="auto"/>
      </w:divBdr>
    </w:div>
    <w:div w:id="1327974018">
      <w:bodyDiv w:val="1"/>
      <w:marLeft w:val="0"/>
      <w:marRight w:val="0"/>
      <w:marTop w:val="0"/>
      <w:marBottom w:val="0"/>
      <w:divBdr>
        <w:top w:val="none" w:sz="0" w:space="0" w:color="auto"/>
        <w:left w:val="none" w:sz="0" w:space="0" w:color="auto"/>
        <w:bottom w:val="none" w:sz="0" w:space="0" w:color="auto"/>
        <w:right w:val="none" w:sz="0" w:space="0" w:color="auto"/>
      </w:divBdr>
      <w:divsChild>
        <w:div w:id="1127773885">
          <w:marLeft w:val="0"/>
          <w:marRight w:val="0"/>
          <w:marTop w:val="0"/>
          <w:marBottom w:val="0"/>
          <w:divBdr>
            <w:top w:val="none" w:sz="0" w:space="0" w:color="auto"/>
            <w:left w:val="none" w:sz="0" w:space="0" w:color="auto"/>
            <w:bottom w:val="none" w:sz="0" w:space="0" w:color="auto"/>
            <w:right w:val="none" w:sz="0" w:space="0" w:color="auto"/>
          </w:divBdr>
          <w:divsChild>
            <w:div w:id="569271355">
              <w:marLeft w:val="0"/>
              <w:marRight w:val="0"/>
              <w:marTop w:val="0"/>
              <w:marBottom w:val="0"/>
              <w:divBdr>
                <w:top w:val="none" w:sz="0" w:space="0" w:color="auto"/>
                <w:left w:val="none" w:sz="0" w:space="0" w:color="auto"/>
                <w:bottom w:val="none" w:sz="0" w:space="0" w:color="auto"/>
                <w:right w:val="none" w:sz="0" w:space="0" w:color="auto"/>
              </w:divBdr>
              <w:divsChild>
                <w:div w:id="198542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666967">
      <w:bodyDiv w:val="1"/>
      <w:marLeft w:val="0"/>
      <w:marRight w:val="0"/>
      <w:marTop w:val="0"/>
      <w:marBottom w:val="0"/>
      <w:divBdr>
        <w:top w:val="none" w:sz="0" w:space="0" w:color="auto"/>
        <w:left w:val="none" w:sz="0" w:space="0" w:color="auto"/>
        <w:bottom w:val="none" w:sz="0" w:space="0" w:color="auto"/>
        <w:right w:val="none" w:sz="0" w:space="0" w:color="auto"/>
      </w:divBdr>
      <w:divsChild>
        <w:div w:id="1431972966">
          <w:marLeft w:val="0"/>
          <w:marRight w:val="0"/>
          <w:marTop w:val="0"/>
          <w:marBottom w:val="0"/>
          <w:divBdr>
            <w:top w:val="none" w:sz="0" w:space="0" w:color="auto"/>
            <w:left w:val="none" w:sz="0" w:space="0" w:color="auto"/>
            <w:bottom w:val="none" w:sz="0" w:space="0" w:color="auto"/>
            <w:right w:val="none" w:sz="0" w:space="0" w:color="auto"/>
          </w:divBdr>
          <w:divsChild>
            <w:div w:id="1098332393">
              <w:marLeft w:val="0"/>
              <w:marRight w:val="0"/>
              <w:marTop w:val="0"/>
              <w:marBottom w:val="0"/>
              <w:divBdr>
                <w:top w:val="none" w:sz="0" w:space="0" w:color="auto"/>
                <w:left w:val="none" w:sz="0" w:space="0" w:color="auto"/>
                <w:bottom w:val="none" w:sz="0" w:space="0" w:color="auto"/>
                <w:right w:val="none" w:sz="0" w:space="0" w:color="auto"/>
              </w:divBdr>
              <w:divsChild>
                <w:div w:id="63066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0617875">
      <w:bodyDiv w:val="1"/>
      <w:marLeft w:val="0"/>
      <w:marRight w:val="0"/>
      <w:marTop w:val="0"/>
      <w:marBottom w:val="0"/>
      <w:divBdr>
        <w:top w:val="none" w:sz="0" w:space="0" w:color="auto"/>
        <w:left w:val="none" w:sz="0" w:space="0" w:color="auto"/>
        <w:bottom w:val="none" w:sz="0" w:space="0" w:color="auto"/>
        <w:right w:val="none" w:sz="0" w:space="0" w:color="auto"/>
      </w:divBdr>
    </w:div>
    <w:div w:id="1424565266">
      <w:bodyDiv w:val="1"/>
      <w:marLeft w:val="0"/>
      <w:marRight w:val="0"/>
      <w:marTop w:val="0"/>
      <w:marBottom w:val="0"/>
      <w:divBdr>
        <w:top w:val="none" w:sz="0" w:space="0" w:color="auto"/>
        <w:left w:val="none" w:sz="0" w:space="0" w:color="auto"/>
        <w:bottom w:val="none" w:sz="0" w:space="0" w:color="auto"/>
        <w:right w:val="none" w:sz="0" w:space="0" w:color="auto"/>
      </w:divBdr>
    </w:div>
    <w:div w:id="1434590610">
      <w:bodyDiv w:val="1"/>
      <w:marLeft w:val="0"/>
      <w:marRight w:val="0"/>
      <w:marTop w:val="0"/>
      <w:marBottom w:val="0"/>
      <w:divBdr>
        <w:top w:val="none" w:sz="0" w:space="0" w:color="auto"/>
        <w:left w:val="none" w:sz="0" w:space="0" w:color="auto"/>
        <w:bottom w:val="none" w:sz="0" w:space="0" w:color="auto"/>
        <w:right w:val="none" w:sz="0" w:space="0" w:color="auto"/>
      </w:divBdr>
      <w:divsChild>
        <w:div w:id="1378312868">
          <w:marLeft w:val="0"/>
          <w:marRight w:val="0"/>
          <w:marTop w:val="0"/>
          <w:marBottom w:val="0"/>
          <w:divBdr>
            <w:top w:val="none" w:sz="0" w:space="0" w:color="auto"/>
            <w:left w:val="none" w:sz="0" w:space="0" w:color="auto"/>
            <w:bottom w:val="none" w:sz="0" w:space="0" w:color="auto"/>
            <w:right w:val="none" w:sz="0" w:space="0" w:color="auto"/>
          </w:divBdr>
          <w:divsChild>
            <w:div w:id="1099253340">
              <w:marLeft w:val="0"/>
              <w:marRight w:val="0"/>
              <w:marTop w:val="0"/>
              <w:marBottom w:val="0"/>
              <w:divBdr>
                <w:top w:val="none" w:sz="0" w:space="0" w:color="auto"/>
                <w:left w:val="none" w:sz="0" w:space="0" w:color="auto"/>
                <w:bottom w:val="none" w:sz="0" w:space="0" w:color="auto"/>
                <w:right w:val="none" w:sz="0" w:space="0" w:color="auto"/>
              </w:divBdr>
              <w:divsChild>
                <w:div w:id="101700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401669">
      <w:bodyDiv w:val="1"/>
      <w:marLeft w:val="0"/>
      <w:marRight w:val="0"/>
      <w:marTop w:val="0"/>
      <w:marBottom w:val="0"/>
      <w:divBdr>
        <w:top w:val="none" w:sz="0" w:space="0" w:color="auto"/>
        <w:left w:val="none" w:sz="0" w:space="0" w:color="auto"/>
        <w:bottom w:val="none" w:sz="0" w:space="0" w:color="auto"/>
        <w:right w:val="none" w:sz="0" w:space="0" w:color="auto"/>
      </w:divBdr>
    </w:div>
    <w:div w:id="1440681139">
      <w:bodyDiv w:val="1"/>
      <w:marLeft w:val="0"/>
      <w:marRight w:val="0"/>
      <w:marTop w:val="0"/>
      <w:marBottom w:val="0"/>
      <w:divBdr>
        <w:top w:val="none" w:sz="0" w:space="0" w:color="auto"/>
        <w:left w:val="none" w:sz="0" w:space="0" w:color="auto"/>
        <w:bottom w:val="none" w:sz="0" w:space="0" w:color="auto"/>
        <w:right w:val="none" w:sz="0" w:space="0" w:color="auto"/>
      </w:divBdr>
      <w:divsChild>
        <w:div w:id="1794325393">
          <w:marLeft w:val="0"/>
          <w:marRight w:val="0"/>
          <w:marTop w:val="0"/>
          <w:marBottom w:val="0"/>
          <w:divBdr>
            <w:top w:val="none" w:sz="0" w:space="0" w:color="auto"/>
            <w:left w:val="none" w:sz="0" w:space="0" w:color="auto"/>
            <w:bottom w:val="none" w:sz="0" w:space="0" w:color="auto"/>
            <w:right w:val="none" w:sz="0" w:space="0" w:color="auto"/>
          </w:divBdr>
          <w:divsChild>
            <w:div w:id="446899352">
              <w:marLeft w:val="0"/>
              <w:marRight w:val="0"/>
              <w:marTop w:val="0"/>
              <w:marBottom w:val="0"/>
              <w:divBdr>
                <w:top w:val="none" w:sz="0" w:space="0" w:color="auto"/>
                <w:left w:val="none" w:sz="0" w:space="0" w:color="auto"/>
                <w:bottom w:val="none" w:sz="0" w:space="0" w:color="auto"/>
                <w:right w:val="none" w:sz="0" w:space="0" w:color="auto"/>
              </w:divBdr>
              <w:divsChild>
                <w:div w:id="1472285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854917">
      <w:bodyDiv w:val="1"/>
      <w:marLeft w:val="0"/>
      <w:marRight w:val="0"/>
      <w:marTop w:val="0"/>
      <w:marBottom w:val="0"/>
      <w:divBdr>
        <w:top w:val="none" w:sz="0" w:space="0" w:color="auto"/>
        <w:left w:val="none" w:sz="0" w:space="0" w:color="auto"/>
        <w:bottom w:val="none" w:sz="0" w:space="0" w:color="auto"/>
        <w:right w:val="none" w:sz="0" w:space="0" w:color="auto"/>
      </w:divBdr>
      <w:divsChild>
        <w:div w:id="2098136173">
          <w:marLeft w:val="0"/>
          <w:marRight w:val="0"/>
          <w:marTop w:val="0"/>
          <w:marBottom w:val="0"/>
          <w:divBdr>
            <w:top w:val="none" w:sz="0" w:space="0" w:color="auto"/>
            <w:left w:val="none" w:sz="0" w:space="0" w:color="auto"/>
            <w:bottom w:val="none" w:sz="0" w:space="0" w:color="auto"/>
            <w:right w:val="none" w:sz="0" w:space="0" w:color="auto"/>
          </w:divBdr>
          <w:divsChild>
            <w:div w:id="1199319583">
              <w:marLeft w:val="0"/>
              <w:marRight w:val="0"/>
              <w:marTop w:val="0"/>
              <w:marBottom w:val="0"/>
              <w:divBdr>
                <w:top w:val="none" w:sz="0" w:space="0" w:color="auto"/>
                <w:left w:val="none" w:sz="0" w:space="0" w:color="auto"/>
                <w:bottom w:val="none" w:sz="0" w:space="0" w:color="auto"/>
                <w:right w:val="none" w:sz="0" w:space="0" w:color="auto"/>
              </w:divBdr>
              <w:divsChild>
                <w:div w:id="397095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4881933">
      <w:bodyDiv w:val="1"/>
      <w:marLeft w:val="0"/>
      <w:marRight w:val="0"/>
      <w:marTop w:val="0"/>
      <w:marBottom w:val="0"/>
      <w:divBdr>
        <w:top w:val="none" w:sz="0" w:space="0" w:color="auto"/>
        <w:left w:val="none" w:sz="0" w:space="0" w:color="auto"/>
        <w:bottom w:val="none" w:sz="0" w:space="0" w:color="auto"/>
        <w:right w:val="none" w:sz="0" w:space="0" w:color="auto"/>
      </w:divBdr>
      <w:divsChild>
        <w:div w:id="2018655298">
          <w:marLeft w:val="0"/>
          <w:marRight w:val="0"/>
          <w:marTop w:val="0"/>
          <w:marBottom w:val="0"/>
          <w:divBdr>
            <w:top w:val="none" w:sz="0" w:space="0" w:color="auto"/>
            <w:left w:val="none" w:sz="0" w:space="0" w:color="auto"/>
            <w:bottom w:val="none" w:sz="0" w:space="0" w:color="auto"/>
            <w:right w:val="none" w:sz="0" w:space="0" w:color="auto"/>
          </w:divBdr>
          <w:divsChild>
            <w:div w:id="1359551430">
              <w:marLeft w:val="0"/>
              <w:marRight w:val="0"/>
              <w:marTop w:val="0"/>
              <w:marBottom w:val="0"/>
              <w:divBdr>
                <w:top w:val="none" w:sz="0" w:space="0" w:color="auto"/>
                <w:left w:val="none" w:sz="0" w:space="0" w:color="auto"/>
                <w:bottom w:val="none" w:sz="0" w:space="0" w:color="auto"/>
                <w:right w:val="none" w:sz="0" w:space="0" w:color="auto"/>
              </w:divBdr>
              <w:divsChild>
                <w:div w:id="49711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1530862">
      <w:bodyDiv w:val="1"/>
      <w:marLeft w:val="0"/>
      <w:marRight w:val="0"/>
      <w:marTop w:val="0"/>
      <w:marBottom w:val="0"/>
      <w:divBdr>
        <w:top w:val="none" w:sz="0" w:space="0" w:color="auto"/>
        <w:left w:val="none" w:sz="0" w:space="0" w:color="auto"/>
        <w:bottom w:val="none" w:sz="0" w:space="0" w:color="auto"/>
        <w:right w:val="none" w:sz="0" w:space="0" w:color="auto"/>
      </w:divBdr>
    </w:div>
    <w:div w:id="1575894602">
      <w:bodyDiv w:val="1"/>
      <w:marLeft w:val="0"/>
      <w:marRight w:val="0"/>
      <w:marTop w:val="0"/>
      <w:marBottom w:val="0"/>
      <w:divBdr>
        <w:top w:val="none" w:sz="0" w:space="0" w:color="auto"/>
        <w:left w:val="none" w:sz="0" w:space="0" w:color="auto"/>
        <w:bottom w:val="none" w:sz="0" w:space="0" w:color="auto"/>
        <w:right w:val="none" w:sz="0" w:space="0" w:color="auto"/>
      </w:divBdr>
      <w:divsChild>
        <w:div w:id="112792273">
          <w:marLeft w:val="0"/>
          <w:marRight w:val="0"/>
          <w:marTop w:val="0"/>
          <w:marBottom w:val="0"/>
          <w:divBdr>
            <w:top w:val="none" w:sz="0" w:space="0" w:color="auto"/>
            <w:left w:val="none" w:sz="0" w:space="0" w:color="auto"/>
            <w:bottom w:val="none" w:sz="0" w:space="0" w:color="auto"/>
            <w:right w:val="none" w:sz="0" w:space="0" w:color="auto"/>
          </w:divBdr>
          <w:divsChild>
            <w:div w:id="1343236903">
              <w:marLeft w:val="0"/>
              <w:marRight w:val="0"/>
              <w:marTop w:val="0"/>
              <w:marBottom w:val="0"/>
              <w:divBdr>
                <w:top w:val="none" w:sz="0" w:space="0" w:color="auto"/>
                <w:left w:val="none" w:sz="0" w:space="0" w:color="auto"/>
                <w:bottom w:val="none" w:sz="0" w:space="0" w:color="auto"/>
                <w:right w:val="none" w:sz="0" w:space="0" w:color="auto"/>
              </w:divBdr>
              <w:divsChild>
                <w:div w:id="149842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403419">
      <w:bodyDiv w:val="1"/>
      <w:marLeft w:val="0"/>
      <w:marRight w:val="0"/>
      <w:marTop w:val="0"/>
      <w:marBottom w:val="0"/>
      <w:divBdr>
        <w:top w:val="none" w:sz="0" w:space="0" w:color="auto"/>
        <w:left w:val="none" w:sz="0" w:space="0" w:color="auto"/>
        <w:bottom w:val="none" w:sz="0" w:space="0" w:color="auto"/>
        <w:right w:val="none" w:sz="0" w:space="0" w:color="auto"/>
      </w:divBdr>
      <w:divsChild>
        <w:div w:id="691881458">
          <w:marLeft w:val="0"/>
          <w:marRight w:val="0"/>
          <w:marTop w:val="0"/>
          <w:marBottom w:val="0"/>
          <w:divBdr>
            <w:top w:val="none" w:sz="0" w:space="0" w:color="auto"/>
            <w:left w:val="none" w:sz="0" w:space="0" w:color="auto"/>
            <w:bottom w:val="none" w:sz="0" w:space="0" w:color="auto"/>
            <w:right w:val="none" w:sz="0" w:space="0" w:color="auto"/>
          </w:divBdr>
          <w:divsChild>
            <w:div w:id="74211883">
              <w:marLeft w:val="0"/>
              <w:marRight w:val="0"/>
              <w:marTop w:val="0"/>
              <w:marBottom w:val="0"/>
              <w:divBdr>
                <w:top w:val="none" w:sz="0" w:space="0" w:color="auto"/>
                <w:left w:val="none" w:sz="0" w:space="0" w:color="auto"/>
                <w:bottom w:val="none" w:sz="0" w:space="0" w:color="auto"/>
                <w:right w:val="none" w:sz="0" w:space="0" w:color="auto"/>
              </w:divBdr>
              <w:divsChild>
                <w:div w:id="1951475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482476">
      <w:bodyDiv w:val="1"/>
      <w:marLeft w:val="0"/>
      <w:marRight w:val="0"/>
      <w:marTop w:val="0"/>
      <w:marBottom w:val="0"/>
      <w:divBdr>
        <w:top w:val="none" w:sz="0" w:space="0" w:color="auto"/>
        <w:left w:val="none" w:sz="0" w:space="0" w:color="auto"/>
        <w:bottom w:val="none" w:sz="0" w:space="0" w:color="auto"/>
        <w:right w:val="none" w:sz="0" w:space="0" w:color="auto"/>
      </w:divBdr>
      <w:divsChild>
        <w:div w:id="1736929480">
          <w:marLeft w:val="0"/>
          <w:marRight w:val="0"/>
          <w:marTop w:val="0"/>
          <w:marBottom w:val="0"/>
          <w:divBdr>
            <w:top w:val="none" w:sz="0" w:space="0" w:color="auto"/>
            <w:left w:val="none" w:sz="0" w:space="0" w:color="auto"/>
            <w:bottom w:val="none" w:sz="0" w:space="0" w:color="auto"/>
            <w:right w:val="none" w:sz="0" w:space="0" w:color="auto"/>
          </w:divBdr>
          <w:divsChild>
            <w:div w:id="127430606">
              <w:marLeft w:val="0"/>
              <w:marRight w:val="0"/>
              <w:marTop w:val="0"/>
              <w:marBottom w:val="0"/>
              <w:divBdr>
                <w:top w:val="none" w:sz="0" w:space="0" w:color="auto"/>
                <w:left w:val="none" w:sz="0" w:space="0" w:color="auto"/>
                <w:bottom w:val="none" w:sz="0" w:space="0" w:color="auto"/>
                <w:right w:val="none" w:sz="0" w:space="0" w:color="auto"/>
              </w:divBdr>
              <w:divsChild>
                <w:div w:id="942298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3505891">
      <w:bodyDiv w:val="1"/>
      <w:marLeft w:val="0"/>
      <w:marRight w:val="0"/>
      <w:marTop w:val="0"/>
      <w:marBottom w:val="0"/>
      <w:divBdr>
        <w:top w:val="none" w:sz="0" w:space="0" w:color="auto"/>
        <w:left w:val="none" w:sz="0" w:space="0" w:color="auto"/>
        <w:bottom w:val="none" w:sz="0" w:space="0" w:color="auto"/>
        <w:right w:val="none" w:sz="0" w:space="0" w:color="auto"/>
      </w:divBdr>
    </w:div>
    <w:div w:id="1677612211">
      <w:bodyDiv w:val="1"/>
      <w:marLeft w:val="0"/>
      <w:marRight w:val="0"/>
      <w:marTop w:val="0"/>
      <w:marBottom w:val="0"/>
      <w:divBdr>
        <w:top w:val="none" w:sz="0" w:space="0" w:color="auto"/>
        <w:left w:val="none" w:sz="0" w:space="0" w:color="auto"/>
        <w:bottom w:val="none" w:sz="0" w:space="0" w:color="auto"/>
        <w:right w:val="none" w:sz="0" w:space="0" w:color="auto"/>
      </w:divBdr>
      <w:divsChild>
        <w:div w:id="2054578729">
          <w:marLeft w:val="0"/>
          <w:marRight w:val="0"/>
          <w:marTop w:val="0"/>
          <w:marBottom w:val="0"/>
          <w:divBdr>
            <w:top w:val="none" w:sz="0" w:space="0" w:color="auto"/>
            <w:left w:val="none" w:sz="0" w:space="0" w:color="auto"/>
            <w:bottom w:val="none" w:sz="0" w:space="0" w:color="auto"/>
            <w:right w:val="none" w:sz="0" w:space="0" w:color="auto"/>
          </w:divBdr>
          <w:divsChild>
            <w:div w:id="1402293150">
              <w:marLeft w:val="0"/>
              <w:marRight w:val="0"/>
              <w:marTop w:val="0"/>
              <w:marBottom w:val="0"/>
              <w:divBdr>
                <w:top w:val="none" w:sz="0" w:space="0" w:color="auto"/>
                <w:left w:val="none" w:sz="0" w:space="0" w:color="auto"/>
                <w:bottom w:val="none" w:sz="0" w:space="0" w:color="auto"/>
                <w:right w:val="none" w:sz="0" w:space="0" w:color="auto"/>
              </w:divBdr>
              <w:divsChild>
                <w:div w:id="12238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600568">
      <w:bodyDiv w:val="1"/>
      <w:marLeft w:val="0"/>
      <w:marRight w:val="0"/>
      <w:marTop w:val="0"/>
      <w:marBottom w:val="0"/>
      <w:divBdr>
        <w:top w:val="none" w:sz="0" w:space="0" w:color="auto"/>
        <w:left w:val="none" w:sz="0" w:space="0" w:color="auto"/>
        <w:bottom w:val="none" w:sz="0" w:space="0" w:color="auto"/>
        <w:right w:val="none" w:sz="0" w:space="0" w:color="auto"/>
      </w:divBdr>
    </w:div>
    <w:div w:id="1695766678">
      <w:bodyDiv w:val="1"/>
      <w:marLeft w:val="0"/>
      <w:marRight w:val="0"/>
      <w:marTop w:val="0"/>
      <w:marBottom w:val="0"/>
      <w:divBdr>
        <w:top w:val="none" w:sz="0" w:space="0" w:color="auto"/>
        <w:left w:val="none" w:sz="0" w:space="0" w:color="auto"/>
        <w:bottom w:val="none" w:sz="0" w:space="0" w:color="auto"/>
        <w:right w:val="none" w:sz="0" w:space="0" w:color="auto"/>
      </w:divBdr>
      <w:divsChild>
        <w:div w:id="1900242373">
          <w:marLeft w:val="0"/>
          <w:marRight w:val="0"/>
          <w:marTop w:val="0"/>
          <w:marBottom w:val="0"/>
          <w:divBdr>
            <w:top w:val="none" w:sz="0" w:space="0" w:color="auto"/>
            <w:left w:val="none" w:sz="0" w:space="0" w:color="auto"/>
            <w:bottom w:val="none" w:sz="0" w:space="0" w:color="auto"/>
            <w:right w:val="none" w:sz="0" w:space="0" w:color="auto"/>
          </w:divBdr>
          <w:divsChild>
            <w:div w:id="1244337613">
              <w:marLeft w:val="0"/>
              <w:marRight w:val="0"/>
              <w:marTop w:val="0"/>
              <w:marBottom w:val="0"/>
              <w:divBdr>
                <w:top w:val="none" w:sz="0" w:space="0" w:color="auto"/>
                <w:left w:val="none" w:sz="0" w:space="0" w:color="auto"/>
                <w:bottom w:val="none" w:sz="0" w:space="0" w:color="auto"/>
                <w:right w:val="none" w:sz="0" w:space="0" w:color="auto"/>
              </w:divBdr>
              <w:divsChild>
                <w:div w:id="2016882863">
                  <w:marLeft w:val="0"/>
                  <w:marRight w:val="0"/>
                  <w:marTop w:val="0"/>
                  <w:marBottom w:val="0"/>
                  <w:divBdr>
                    <w:top w:val="none" w:sz="0" w:space="0" w:color="auto"/>
                    <w:left w:val="none" w:sz="0" w:space="0" w:color="auto"/>
                    <w:bottom w:val="none" w:sz="0" w:space="0" w:color="auto"/>
                    <w:right w:val="none" w:sz="0" w:space="0" w:color="auto"/>
                  </w:divBdr>
                  <w:divsChild>
                    <w:div w:id="105724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031614">
      <w:bodyDiv w:val="1"/>
      <w:marLeft w:val="0"/>
      <w:marRight w:val="0"/>
      <w:marTop w:val="0"/>
      <w:marBottom w:val="0"/>
      <w:divBdr>
        <w:top w:val="none" w:sz="0" w:space="0" w:color="auto"/>
        <w:left w:val="none" w:sz="0" w:space="0" w:color="auto"/>
        <w:bottom w:val="none" w:sz="0" w:space="0" w:color="auto"/>
        <w:right w:val="none" w:sz="0" w:space="0" w:color="auto"/>
      </w:divBdr>
      <w:divsChild>
        <w:div w:id="1426457820">
          <w:marLeft w:val="0"/>
          <w:marRight w:val="0"/>
          <w:marTop w:val="0"/>
          <w:marBottom w:val="0"/>
          <w:divBdr>
            <w:top w:val="none" w:sz="0" w:space="0" w:color="auto"/>
            <w:left w:val="none" w:sz="0" w:space="0" w:color="auto"/>
            <w:bottom w:val="none" w:sz="0" w:space="0" w:color="auto"/>
            <w:right w:val="none" w:sz="0" w:space="0" w:color="auto"/>
          </w:divBdr>
          <w:divsChild>
            <w:div w:id="464809156">
              <w:marLeft w:val="0"/>
              <w:marRight w:val="0"/>
              <w:marTop w:val="0"/>
              <w:marBottom w:val="0"/>
              <w:divBdr>
                <w:top w:val="none" w:sz="0" w:space="0" w:color="auto"/>
                <w:left w:val="none" w:sz="0" w:space="0" w:color="auto"/>
                <w:bottom w:val="none" w:sz="0" w:space="0" w:color="auto"/>
                <w:right w:val="none" w:sz="0" w:space="0" w:color="auto"/>
              </w:divBdr>
              <w:divsChild>
                <w:div w:id="1921016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839199">
      <w:bodyDiv w:val="1"/>
      <w:marLeft w:val="0"/>
      <w:marRight w:val="0"/>
      <w:marTop w:val="0"/>
      <w:marBottom w:val="0"/>
      <w:divBdr>
        <w:top w:val="none" w:sz="0" w:space="0" w:color="auto"/>
        <w:left w:val="none" w:sz="0" w:space="0" w:color="auto"/>
        <w:bottom w:val="none" w:sz="0" w:space="0" w:color="auto"/>
        <w:right w:val="none" w:sz="0" w:space="0" w:color="auto"/>
      </w:divBdr>
      <w:divsChild>
        <w:div w:id="1786532666">
          <w:marLeft w:val="0"/>
          <w:marRight w:val="0"/>
          <w:marTop w:val="0"/>
          <w:marBottom w:val="0"/>
          <w:divBdr>
            <w:top w:val="none" w:sz="0" w:space="0" w:color="auto"/>
            <w:left w:val="none" w:sz="0" w:space="0" w:color="auto"/>
            <w:bottom w:val="none" w:sz="0" w:space="0" w:color="auto"/>
            <w:right w:val="none" w:sz="0" w:space="0" w:color="auto"/>
          </w:divBdr>
          <w:divsChild>
            <w:div w:id="424228907">
              <w:marLeft w:val="0"/>
              <w:marRight w:val="0"/>
              <w:marTop w:val="0"/>
              <w:marBottom w:val="0"/>
              <w:divBdr>
                <w:top w:val="none" w:sz="0" w:space="0" w:color="auto"/>
                <w:left w:val="none" w:sz="0" w:space="0" w:color="auto"/>
                <w:bottom w:val="none" w:sz="0" w:space="0" w:color="auto"/>
                <w:right w:val="none" w:sz="0" w:space="0" w:color="auto"/>
              </w:divBdr>
              <w:divsChild>
                <w:div w:id="1486581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7216659">
      <w:bodyDiv w:val="1"/>
      <w:marLeft w:val="0"/>
      <w:marRight w:val="0"/>
      <w:marTop w:val="0"/>
      <w:marBottom w:val="0"/>
      <w:divBdr>
        <w:top w:val="none" w:sz="0" w:space="0" w:color="auto"/>
        <w:left w:val="none" w:sz="0" w:space="0" w:color="auto"/>
        <w:bottom w:val="none" w:sz="0" w:space="0" w:color="auto"/>
        <w:right w:val="none" w:sz="0" w:space="0" w:color="auto"/>
      </w:divBdr>
      <w:divsChild>
        <w:div w:id="699432464">
          <w:marLeft w:val="0"/>
          <w:marRight w:val="0"/>
          <w:marTop w:val="0"/>
          <w:marBottom w:val="0"/>
          <w:divBdr>
            <w:top w:val="none" w:sz="0" w:space="0" w:color="auto"/>
            <w:left w:val="none" w:sz="0" w:space="0" w:color="auto"/>
            <w:bottom w:val="none" w:sz="0" w:space="0" w:color="auto"/>
            <w:right w:val="none" w:sz="0" w:space="0" w:color="auto"/>
          </w:divBdr>
          <w:divsChild>
            <w:div w:id="892616576">
              <w:marLeft w:val="0"/>
              <w:marRight w:val="0"/>
              <w:marTop w:val="0"/>
              <w:marBottom w:val="0"/>
              <w:divBdr>
                <w:top w:val="none" w:sz="0" w:space="0" w:color="auto"/>
                <w:left w:val="none" w:sz="0" w:space="0" w:color="auto"/>
                <w:bottom w:val="none" w:sz="0" w:space="0" w:color="auto"/>
                <w:right w:val="none" w:sz="0" w:space="0" w:color="auto"/>
              </w:divBdr>
              <w:divsChild>
                <w:div w:id="1067075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127152">
      <w:bodyDiv w:val="1"/>
      <w:marLeft w:val="0"/>
      <w:marRight w:val="0"/>
      <w:marTop w:val="0"/>
      <w:marBottom w:val="0"/>
      <w:divBdr>
        <w:top w:val="none" w:sz="0" w:space="0" w:color="auto"/>
        <w:left w:val="none" w:sz="0" w:space="0" w:color="auto"/>
        <w:bottom w:val="none" w:sz="0" w:space="0" w:color="auto"/>
        <w:right w:val="none" w:sz="0" w:space="0" w:color="auto"/>
      </w:divBdr>
      <w:divsChild>
        <w:div w:id="1767339092">
          <w:marLeft w:val="0"/>
          <w:marRight w:val="0"/>
          <w:marTop w:val="0"/>
          <w:marBottom w:val="0"/>
          <w:divBdr>
            <w:top w:val="none" w:sz="0" w:space="0" w:color="auto"/>
            <w:left w:val="none" w:sz="0" w:space="0" w:color="auto"/>
            <w:bottom w:val="none" w:sz="0" w:space="0" w:color="auto"/>
            <w:right w:val="none" w:sz="0" w:space="0" w:color="auto"/>
          </w:divBdr>
          <w:divsChild>
            <w:div w:id="927035115">
              <w:marLeft w:val="0"/>
              <w:marRight w:val="0"/>
              <w:marTop w:val="0"/>
              <w:marBottom w:val="0"/>
              <w:divBdr>
                <w:top w:val="none" w:sz="0" w:space="0" w:color="auto"/>
                <w:left w:val="none" w:sz="0" w:space="0" w:color="auto"/>
                <w:bottom w:val="none" w:sz="0" w:space="0" w:color="auto"/>
                <w:right w:val="none" w:sz="0" w:space="0" w:color="auto"/>
              </w:divBdr>
              <w:divsChild>
                <w:div w:id="587691735">
                  <w:marLeft w:val="0"/>
                  <w:marRight w:val="0"/>
                  <w:marTop w:val="0"/>
                  <w:marBottom w:val="0"/>
                  <w:divBdr>
                    <w:top w:val="none" w:sz="0" w:space="0" w:color="auto"/>
                    <w:left w:val="none" w:sz="0" w:space="0" w:color="auto"/>
                    <w:bottom w:val="none" w:sz="0" w:space="0" w:color="auto"/>
                    <w:right w:val="none" w:sz="0" w:space="0" w:color="auto"/>
                  </w:divBdr>
                  <w:divsChild>
                    <w:div w:id="2140875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8041087">
      <w:bodyDiv w:val="1"/>
      <w:marLeft w:val="0"/>
      <w:marRight w:val="0"/>
      <w:marTop w:val="0"/>
      <w:marBottom w:val="0"/>
      <w:divBdr>
        <w:top w:val="none" w:sz="0" w:space="0" w:color="auto"/>
        <w:left w:val="none" w:sz="0" w:space="0" w:color="auto"/>
        <w:bottom w:val="none" w:sz="0" w:space="0" w:color="auto"/>
        <w:right w:val="none" w:sz="0" w:space="0" w:color="auto"/>
      </w:divBdr>
      <w:divsChild>
        <w:div w:id="344670432">
          <w:marLeft w:val="0"/>
          <w:marRight w:val="0"/>
          <w:marTop w:val="0"/>
          <w:marBottom w:val="0"/>
          <w:divBdr>
            <w:top w:val="none" w:sz="0" w:space="0" w:color="auto"/>
            <w:left w:val="none" w:sz="0" w:space="0" w:color="auto"/>
            <w:bottom w:val="none" w:sz="0" w:space="0" w:color="auto"/>
            <w:right w:val="none" w:sz="0" w:space="0" w:color="auto"/>
          </w:divBdr>
          <w:divsChild>
            <w:div w:id="1012532168">
              <w:marLeft w:val="0"/>
              <w:marRight w:val="0"/>
              <w:marTop w:val="0"/>
              <w:marBottom w:val="0"/>
              <w:divBdr>
                <w:top w:val="none" w:sz="0" w:space="0" w:color="auto"/>
                <w:left w:val="none" w:sz="0" w:space="0" w:color="auto"/>
                <w:bottom w:val="none" w:sz="0" w:space="0" w:color="auto"/>
                <w:right w:val="none" w:sz="0" w:space="0" w:color="auto"/>
              </w:divBdr>
              <w:divsChild>
                <w:div w:id="39063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342904">
      <w:bodyDiv w:val="1"/>
      <w:marLeft w:val="0"/>
      <w:marRight w:val="0"/>
      <w:marTop w:val="0"/>
      <w:marBottom w:val="0"/>
      <w:divBdr>
        <w:top w:val="none" w:sz="0" w:space="0" w:color="auto"/>
        <w:left w:val="none" w:sz="0" w:space="0" w:color="auto"/>
        <w:bottom w:val="none" w:sz="0" w:space="0" w:color="auto"/>
        <w:right w:val="none" w:sz="0" w:space="0" w:color="auto"/>
      </w:divBdr>
    </w:div>
    <w:div w:id="1899972505">
      <w:bodyDiv w:val="1"/>
      <w:marLeft w:val="0"/>
      <w:marRight w:val="0"/>
      <w:marTop w:val="0"/>
      <w:marBottom w:val="0"/>
      <w:divBdr>
        <w:top w:val="none" w:sz="0" w:space="0" w:color="auto"/>
        <w:left w:val="none" w:sz="0" w:space="0" w:color="auto"/>
        <w:bottom w:val="none" w:sz="0" w:space="0" w:color="auto"/>
        <w:right w:val="none" w:sz="0" w:space="0" w:color="auto"/>
      </w:divBdr>
      <w:divsChild>
        <w:div w:id="2118674325">
          <w:marLeft w:val="0"/>
          <w:marRight w:val="0"/>
          <w:marTop w:val="0"/>
          <w:marBottom w:val="0"/>
          <w:divBdr>
            <w:top w:val="none" w:sz="0" w:space="0" w:color="auto"/>
            <w:left w:val="none" w:sz="0" w:space="0" w:color="auto"/>
            <w:bottom w:val="none" w:sz="0" w:space="0" w:color="auto"/>
            <w:right w:val="none" w:sz="0" w:space="0" w:color="auto"/>
          </w:divBdr>
          <w:divsChild>
            <w:div w:id="410391223">
              <w:marLeft w:val="0"/>
              <w:marRight w:val="0"/>
              <w:marTop w:val="0"/>
              <w:marBottom w:val="0"/>
              <w:divBdr>
                <w:top w:val="none" w:sz="0" w:space="0" w:color="auto"/>
                <w:left w:val="none" w:sz="0" w:space="0" w:color="auto"/>
                <w:bottom w:val="none" w:sz="0" w:space="0" w:color="auto"/>
                <w:right w:val="none" w:sz="0" w:space="0" w:color="auto"/>
              </w:divBdr>
              <w:divsChild>
                <w:div w:id="1713571434">
                  <w:marLeft w:val="0"/>
                  <w:marRight w:val="0"/>
                  <w:marTop w:val="0"/>
                  <w:marBottom w:val="0"/>
                  <w:divBdr>
                    <w:top w:val="none" w:sz="0" w:space="0" w:color="auto"/>
                    <w:left w:val="none" w:sz="0" w:space="0" w:color="auto"/>
                    <w:bottom w:val="none" w:sz="0" w:space="0" w:color="auto"/>
                    <w:right w:val="none" w:sz="0" w:space="0" w:color="auto"/>
                  </w:divBdr>
                  <w:divsChild>
                    <w:div w:id="62654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526064">
      <w:bodyDiv w:val="1"/>
      <w:marLeft w:val="0"/>
      <w:marRight w:val="0"/>
      <w:marTop w:val="0"/>
      <w:marBottom w:val="0"/>
      <w:divBdr>
        <w:top w:val="none" w:sz="0" w:space="0" w:color="auto"/>
        <w:left w:val="none" w:sz="0" w:space="0" w:color="auto"/>
        <w:bottom w:val="none" w:sz="0" w:space="0" w:color="auto"/>
        <w:right w:val="none" w:sz="0" w:space="0" w:color="auto"/>
      </w:divBdr>
    </w:div>
    <w:div w:id="1940210230">
      <w:bodyDiv w:val="1"/>
      <w:marLeft w:val="0"/>
      <w:marRight w:val="0"/>
      <w:marTop w:val="0"/>
      <w:marBottom w:val="0"/>
      <w:divBdr>
        <w:top w:val="none" w:sz="0" w:space="0" w:color="auto"/>
        <w:left w:val="none" w:sz="0" w:space="0" w:color="auto"/>
        <w:bottom w:val="none" w:sz="0" w:space="0" w:color="auto"/>
        <w:right w:val="none" w:sz="0" w:space="0" w:color="auto"/>
      </w:divBdr>
      <w:divsChild>
        <w:div w:id="1880777978">
          <w:marLeft w:val="0"/>
          <w:marRight w:val="0"/>
          <w:marTop w:val="0"/>
          <w:marBottom w:val="0"/>
          <w:divBdr>
            <w:top w:val="none" w:sz="0" w:space="0" w:color="auto"/>
            <w:left w:val="none" w:sz="0" w:space="0" w:color="auto"/>
            <w:bottom w:val="none" w:sz="0" w:space="0" w:color="auto"/>
            <w:right w:val="none" w:sz="0" w:space="0" w:color="auto"/>
          </w:divBdr>
          <w:divsChild>
            <w:div w:id="1834448153">
              <w:marLeft w:val="0"/>
              <w:marRight w:val="0"/>
              <w:marTop w:val="0"/>
              <w:marBottom w:val="0"/>
              <w:divBdr>
                <w:top w:val="none" w:sz="0" w:space="0" w:color="auto"/>
                <w:left w:val="none" w:sz="0" w:space="0" w:color="auto"/>
                <w:bottom w:val="none" w:sz="0" w:space="0" w:color="auto"/>
                <w:right w:val="none" w:sz="0" w:space="0" w:color="auto"/>
              </w:divBdr>
              <w:divsChild>
                <w:div w:id="140564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670552">
      <w:bodyDiv w:val="1"/>
      <w:marLeft w:val="0"/>
      <w:marRight w:val="0"/>
      <w:marTop w:val="0"/>
      <w:marBottom w:val="0"/>
      <w:divBdr>
        <w:top w:val="none" w:sz="0" w:space="0" w:color="auto"/>
        <w:left w:val="none" w:sz="0" w:space="0" w:color="auto"/>
        <w:bottom w:val="none" w:sz="0" w:space="0" w:color="auto"/>
        <w:right w:val="none" w:sz="0" w:space="0" w:color="auto"/>
      </w:divBdr>
      <w:divsChild>
        <w:div w:id="291404735">
          <w:marLeft w:val="0"/>
          <w:marRight w:val="0"/>
          <w:marTop w:val="0"/>
          <w:marBottom w:val="0"/>
          <w:divBdr>
            <w:top w:val="none" w:sz="0" w:space="0" w:color="auto"/>
            <w:left w:val="none" w:sz="0" w:space="0" w:color="auto"/>
            <w:bottom w:val="none" w:sz="0" w:space="0" w:color="auto"/>
            <w:right w:val="none" w:sz="0" w:space="0" w:color="auto"/>
          </w:divBdr>
          <w:divsChild>
            <w:div w:id="2031683928">
              <w:marLeft w:val="0"/>
              <w:marRight w:val="0"/>
              <w:marTop w:val="0"/>
              <w:marBottom w:val="0"/>
              <w:divBdr>
                <w:top w:val="none" w:sz="0" w:space="0" w:color="auto"/>
                <w:left w:val="none" w:sz="0" w:space="0" w:color="auto"/>
                <w:bottom w:val="none" w:sz="0" w:space="0" w:color="auto"/>
                <w:right w:val="none" w:sz="0" w:space="0" w:color="auto"/>
              </w:divBdr>
              <w:divsChild>
                <w:div w:id="392508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390768">
      <w:bodyDiv w:val="1"/>
      <w:marLeft w:val="0"/>
      <w:marRight w:val="0"/>
      <w:marTop w:val="0"/>
      <w:marBottom w:val="0"/>
      <w:divBdr>
        <w:top w:val="none" w:sz="0" w:space="0" w:color="auto"/>
        <w:left w:val="none" w:sz="0" w:space="0" w:color="auto"/>
        <w:bottom w:val="none" w:sz="0" w:space="0" w:color="auto"/>
        <w:right w:val="none" w:sz="0" w:space="0" w:color="auto"/>
      </w:divBdr>
      <w:divsChild>
        <w:div w:id="664894496">
          <w:marLeft w:val="0"/>
          <w:marRight w:val="0"/>
          <w:marTop w:val="0"/>
          <w:marBottom w:val="0"/>
          <w:divBdr>
            <w:top w:val="none" w:sz="0" w:space="0" w:color="auto"/>
            <w:left w:val="none" w:sz="0" w:space="0" w:color="auto"/>
            <w:bottom w:val="none" w:sz="0" w:space="0" w:color="auto"/>
            <w:right w:val="none" w:sz="0" w:space="0" w:color="auto"/>
          </w:divBdr>
          <w:divsChild>
            <w:div w:id="160432316">
              <w:marLeft w:val="0"/>
              <w:marRight w:val="0"/>
              <w:marTop w:val="0"/>
              <w:marBottom w:val="0"/>
              <w:divBdr>
                <w:top w:val="none" w:sz="0" w:space="0" w:color="auto"/>
                <w:left w:val="none" w:sz="0" w:space="0" w:color="auto"/>
                <w:bottom w:val="none" w:sz="0" w:space="0" w:color="auto"/>
                <w:right w:val="none" w:sz="0" w:space="0" w:color="auto"/>
              </w:divBdr>
              <w:divsChild>
                <w:div w:id="94446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3947347">
      <w:bodyDiv w:val="1"/>
      <w:marLeft w:val="0"/>
      <w:marRight w:val="0"/>
      <w:marTop w:val="0"/>
      <w:marBottom w:val="0"/>
      <w:divBdr>
        <w:top w:val="none" w:sz="0" w:space="0" w:color="auto"/>
        <w:left w:val="none" w:sz="0" w:space="0" w:color="auto"/>
        <w:bottom w:val="none" w:sz="0" w:space="0" w:color="auto"/>
        <w:right w:val="none" w:sz="0" w:space="0" w:color="auto"/>
      </w:divBdr>
      <w:divsChild>
        <w:div w:id="874923229">
          <w:marLeft w:val="0"/>
          <w:marRight w:val="0"/>
          <w:marTop w:val="0"/>
          <w:marBottom w:val="0"/>
          <w:divBdr>
            <w:top w:val="none" w:sz="0" w:space="0" w:color="auto"/>
            <w:left w:val="none" w:sz="0" w:space="0" w:color="auto"/>
            <w:bottom w:val="none" w:sz="0" w:space="0" w:color="auto"/>
            <w:right w:val="none" w:sz="0" w:space="0" w:color="auto"/>
          </w:divBdr>
          <w:divsChild>
            <w:div w:id="1314019536">
              <w:marLeft w:val="0"/>
              <w:marRight w:val="0"/>
              <w:marTop w:val="0"/>
              <w:marBottom w:val="0"/>
              <w:divBdr>
                <w:top w:val="none" w:sz="0" w:space="0" w:color="auto"/>
                <w:left w:val="none" w:sz="0" w:space="0" w:color="auto"/>
                <w:bottom w:val="none" w:sz="0" w:space="0" w:color="auto"/>
                <w:right w:val="none" w:sz="0" w:space="0" w:color="auto"/>
              </w:divBdr>
              <w:divsChild>
                <w:div w:id="471945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668633">
      <w:bodyDiv w:val="1"/>
      <w:marLeft w:val="0"/>
      <w:marRight w:val="0"/>
      <w:marTop w:val="0"/>
      <w:marBottom w:val="0"/>
      <w:divBdr>
        <w:top w:val="none" w:sz="0" w:space="0" w:color="auto"/>
        <w:left w:val="none" w:sz="0" w:space="0" w:color="auto"/>
        <w:bottom w:val="none" w:sz="0" w:space="0" w:color="auto"/>
        <w:right w:val="none" w:sz="0" w:space="0" w:color="auto"/>
      </w:divBdr>
      <w:divsChild>
        <w:div w:id="933972813">
          <w:marLeft w:val="0"/>
          <w:marRight w:val="0"/>
          <w:marTop w:val="0"/>
          <w:marBottom w:val="0"/>
          <w:divBdr>
            <w:top w:val="none" w:sz="0" w:space="0" w:color="auto"/>
            <w:left w:val="none" w:sz="0" w:space="0" w:color="auto"/>
            <w:bottom w:val="none" w:sz="0" w:space="0" w:color="auto"/>
            <w:right w:val="none" w:sz="0" w:space="0" w:color="auto"/>
          </w:divBdr>
          <w:divsChild>
            <w:div w:id="1572695916">
              <w:marLeft w:val="0"/>
              <w:marRight w:val="0"/>
              <w:marTop w:val="0"/>
              <w:marBottom w:val="0"/>
              <w:divBdr>
                <w:top w:val="none" w:sz="0" w:space="0" w:color="auto"/>
                <w:left w:val="none" w:sz="0" w:space="0" w:color="auto"/>
                <w:bottom w:val="none" w:sz="0" w:space="0" w:color="auto"/>
                <w:right w:val="none" w:sz="0" w:space="0" w:color="auto"/>
              </w:divBdr>
              <w:divsChild>
                <w:div w:id="785659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107937">
      <w:bodyDiv w:val="1"/>
      <w:marLeft w:val="0"/>
      <w:marRight w:val="0"/>
      <w:marTop w:val="0"/>
      <w:marBottom w:val="0"/>
      <w:divBdr>
        <w:top w:val="none" w:sz="0" w:space="0" w:color="auto"/>
        <w:left w:val="none" w:sz="0" w:space="0" w:color="auto"/>
        <w:bottom w:val="none" w:sz="0" w:space="0" w:color="auto"/>
        <w:right w:val="none" w:sz="0" w:space="0" w:color="auto"/>
      </w:divBdr>
      <w:divsChild>
        <w:div w:id="1914314404">
          <w:marLeft w:val="0"/>
          <w:marRight w:val="0"/>
          <w:marTop w:val="0"/>
          <w:marBottom w:val="0"/>
          <w:divBdr>
            <w:top w:val="none" w:sz="0" w:space="0" w:color="auto"/>
            <w:left w:val="none" w:sz="0" w:space="0" w:color="auto"/>
            <w:bottom w:val="none" w:sz="0" w:space="0" w:color="auto"/>
            <w:right w:val="none" w:sz="0" w:space="0" w:color="auto"/>
          </w:divBdr>
          <w:divsChild>
            <w:div w:id="879168919">
              <w:marLeft w:val="0"/>
              <w:marRight w:val="0"/>
              <w:marTop w:val="0"/>
              <w:marBottom w:val="0"/>
              <w:divBdr>
                <w:top w:val="none" w:sz="0" w:space="0" w:color="auto"/>
                <w:left w:val="none" w:sz="0" w:space="0" w:color="auto"/>
                <w:bottom w:val="none" w:sz="0" w:space="0" w:color="auto"/>
                <w:right w:val="none" w:sz="0" w:space="0" w:color="auto"/>
              </w:divBdr>
              <w:divsChild>
                <w:div w:id="62266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079174">
      <w:bodyDiv w:val="1"/>
      <w:marLeft w:val="0"/>
      <w:marRight w:val="0"/>
      <w:marTop w:val="0"/>
      <w:marBottom w:val="0"/>
      <w:divBdr>
        <w:top w:val="none" w:sz="0" w:space="0" w:color="auto"/>
        <w:left w:val="none" w:sz="0" w:space="0" w:color="auto"/>
        <w:bottom w:val="none" w:sz="0" w:space="0" w:color="auto"/>
        <w:right w:val="none" w:sz="0" w:space="0" w:color="auto"/>
      </w:divBdr>
    </w:div>
    <w:div w:id="2038197125">
      <w:bodyDiv w:val="1"/>
      <w:marLeft w:val="0"/>
      <w:marRight w:val="0"/>
      <w:marTop w:val="0"/>
      <w:marBottom w:val="0"/>
      <w:divBdr>
        <w:top w:val="none" w:sz="0" w:space="0" w:color="auto"/>
        <w:left w:val="none" w:sz="0" w:space="0" w:color="auto"/>
        <w:bottom w:val="none" w:sz="0" w:space="0" w:color="auto"/>
        <w:right w:val="none" w:sz="0" w:space="0" w:color="auto"/>
      </w:divBdr>
      <w:divsChild>
        <w:div w:id="451478948">
          <w:marLeft w:val="0"/>
          <w:marRight w:val="0"/>
          <w:marTop w:val="0"/>
          <w:marBottom w:val="0"/>
          <w:divBdr>
            <w:top w:val="none" w:sz="0" w:space="0" w:color="auto"/>
            <w:left w:val="none" w:sz="0" w:space="0" w:color="auto"/>
            <w:bottom w:val="none" w:sz="0" w:space="0" w:color="auto"/>
            <w:right w:val="none" w:sz="0" w:space="0" w:color="auto"/>
          </w:divBdr>
          <w:divsChild>
            <w:div w:id="1712681639">
              <w:marLeft w:val="0"/>
              <w:marRight w:val="0"/>
              <w:marTop w:val="0"/>
              <w:marBottom w:val="0"/>
              <w:divBdr>
                <w:top w:val="none" w:sz="0" w:space="0" w:color="auto"/>
                <w:left w:val="none" w:sz="0" w:space="0" w:color="auto"/>
                <w:bottom w:val="none" w:sz="0" w:space="0" w:color="auto"/>
                <w:right w:val="none" w:sz="0" w:space="0" w:color="auto"/>
              </w:divBdr>
              <w:divsChild>
                <w:div w:id="1829589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212593">
      <w:bodyDiv w:val="1"/>
      <w:marLeft w:val="0"/>
      <w:marRight w:val="0"/>
      <w:marTop w:val="0"/>
      <w:marBottom w:val="0"/>
      <w:divBdr>
        <w:top w:val="none" w:sz="0" w:space="0" w:color="auto"/>
        <w:left w:val="none" w:sz="0" w:space="0" w:color="auto"/>
        <w:bottom w:val="none" w:sz="0" w:space="0" w:color="auto"/>
        <w:right w:val="none" w:sz="0" w:space="0" w:color="auto"/>
      </w:divBdr>
      <w:divsChild>
        <w:div w:id="1081878687">
          <w:marLeft w:val="0"/>
          <w:marRight w:val="0"/>
          <w:marTop w:val="0"/>
          <w:marBottom w:val="0"/>
          <w:divBdr>
            <w:top w:val="none" w:sz="0" w:space="0" w:color="auto"/>
            <w:left w:val="none" w:sz="0" w:space="0" w:color="auto"/>
            <w:bottom w:val="none" w:sz="0" w:space="0" w:color="auto"/>
            <w:right w:val="none" w:sz="0" w:space="0" w:color="auto"/>
          </w:divBdr>
          <w:divsChild>
            <w:div w:id="2113547145">
              <w:marLeft w:val="0"/>
              <w:marRight w:val="0"/>
              <w:marTop w:val="0"/>
              <w:marBottom w:val="0"/>
              <w:divBdr>
                <w:top w:val="none" w:sz="0" w:space="0" w:color="auto"/>
                <w:left w:val="none" w:sz="0" w:space="0" w:color="auto"/>
                <w:bottom w:val="none" w:sz="0" w:space="0" w:color="auto"/>
                <w:right w:val="none" w:sz="0" w:space="0" w:color="auto"/>
              </w:divBdr>
              <w:divsChild>
                <w:div w:id="75428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9344819">
      <w:bodyDiv w:val="1"/>
      <w:marLeft w:val="0"/>
      <w:marRight w:val="0"/>
      <w:marTop w:val="0"/>
      <w:marBottom w:val="0"/>
      <w:divBdr>
        <w:top w:val="none" w:sz="0" w:space="0" w:color="auto"/>
        <w:left w:val="none" w:sz="0" w:space="0" w:color="auto"/>
        <w:bottom w:val="none" w:sz="0" w:space="0" w:color="auto"/>
        <w:right w:val="none" w:sz="0" w:space="0" w:color="auto"/>
      </w:divBdr>
    </w:div>
    <w:div w:id="2116511834">
      <w:bodyDiv w:val="1"/>
      <w:marLeft w:val="0"/>
      <w:marRight w:val="0"/>
      <w:marTop w:val="0"/>
      <w:marBottom w:val="0"/>
      <w:divBdr>
        <w:top w:val="none" w:sz="0" w:space="0" w:color="auto"/>
        <w:left w:val="none" w:sz="0" w:space="0" w:color="auto"/>
        <w:bottom w:val="none" w:sz="0" w:space="0" w:color="auto"/>
        <w:right w:val="none" w:sz="0" w:space="0" w:color="auto"/>
      </w:divBdr>
      <w:divsChild>
        <w:div w:id="436605002">
          <w:marLeft w:val="0"/>
          <w:marRight w:val="0"/>
          <w:marTop w:val="0"/>
          <w:marBottom w:val="0"/>
          <w:divBdr>
            <w:top w:val="none" w:sz="0" w:space="0" w:color="auto"/>
            <w:left w:val="none" w:sz="0" w:space="0" w:color="auto"/>
            <w:bottom w:val="none" w:sz="0" w:space="0" w:color="auto"/>
            <w:right w:val="none" w:sz="0" w:space="0" w:color="auto"/>
          </w:divBdr>
          <w:divsChild>
            <w:div w:id="1852525010">
              <w:marLeft w:val="0"/>
              <w:marRight w:val="0"/>
              <w:marTop w:val="0"/>
              <w:marBottom w:val="0"/>
              <w:divBdr>
                <w:top w:val="none" w:sz="0" w:space="0" w:color="auto"/>
                <w:left w:val="none" w:sz="0" w:space="0" w:color="auto"/>
                <w:bottom w:val="none" w:sz="0" w:space="0" w:color="auto"/>
                <w:right w:val="none" w:sz="0" w:space="0" w:color="auto"/>
              </w:divBdr>
              <w:divsChild>
                <w:div w:id="137148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9815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arca.minambiente.gov.co/verradicado.php?verrad=13012026E3003336&amp;nomcarpeta=Busqueda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hyperlink" Target="https://arca.minambiente.gov.co/verradicado.php?verrad=13012026E3003336&amp;nomcarpeta=Busqueda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arca.minambiente.gov.co/verradicado.php?verrad=13012026E3003336&amp;nomcarpeta=Busquedas" TargetMode="External"/><Relationship Id="rId14" Type="http://schemas.openxmlformats.org/officeDocument/2006/relationships/hyperlink" Target="https://arca.minambiente.gov.co/verradicado.php?verrad=13012026E3003926&amp;?PHPSESSID=9kin5e3jjp004egagnr8028h6c&amp;depeBuscada=&amp;filtroSelect=&amp;tpAnulacion=&amp;carpeta=8&amp;tipo_carp=&amp;chkCarpeta=&amp;nomcarpeta=Entrada&amp;&amp;busqRadicados=&amp;&amp;orderTipo=DESC&amp;orderNo=&amp;carpeta=816"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9FECE-B677-1E4E-9645-08029C137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50</Pages>
  <Words>17222</Words>
  <Characters>94726</Characters>
  <Application>Microsoft Office Word</Application>
  <DocSecurity>0</DocSecurity>
  <Lines>789</Lines>
  <Paragraphs>223</Paragraphs>
  <ScaleCrop>false</ScaleCrop>
  <Company/>
  <LinksUpToDate>false</LinksUpToDate>
  <CharactersWithSpaces>111725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Dani Ramos Cendales</cp:lastModifiedBy>
  <cp:revision>3</cp:revision>
  <cp:lastPrinted>2025-10-01T20:59:00Z</cp:lastPrinted>
  <dcterms:created xsi:type="dcterms:W3CDTF">2026-03-04T15:27:00Z</dcterms:created>
  <dcterms:modified xsi:type="dcterms:W3CDTF">2026-03-05T19:56:00Z</dcterms:modified>
</cp:coreProperties>
</file>